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before="100" w:after="100"/>
        <w:rPr>
          <w:b/>
          <w:b/>
          <w:sz w:val="18"/>
          <w:szCs w:val="18"/>
          <w:u w:val="single"/>
          <w:lang w:val="en-GB"/>
        </w:rPr>
      </w:pPr>
      <w:r>
        <w:rPr>
          <w:b/>
          <w:sz w:val="18"/>
          <w:szCs w:val="18"/>
          <w:u w:val="single"/>
          <w:lang w:val="en-GB"/>
        </w:rPr>
      </w:r>
    </w:p>
    <w:p>
      <w:pPr>
        <w:pStyle w:val="Normal"/>
        <w:jc w:val="center"/>
        <w:rPr>
          <w:b/>
          <w:b/>
          <w:sz w:val="28"/>
          <w:szCs w:val="28"/>
          <w:lang w:val="en-GB"/>
        </w:rPr>
      </w:pPr>
      <w:r>
        <mc:AlternateContent>
          <mc:Choice Requires="wps">
            <w:drawing>
              <wp:anchor behindDoc="0" distT="0" distB="0" distL="0" distR="0" simplePos="0" locked="0" layoutInCell="1" allowOverlap="1" relativeHeight="4">
                <wp:simplePos x="0" y="0"/>
                <wp:positionH relativeFrom="column">
                  <wp:posOffset>-52070</wp:posOffset>
                </wp:positionH>
                <wp:positionV relativeFrom="paragraph">
                  <wp:posOffset>31115</wp:posOffset>
                </wp:positionV>
                <wp:extent cx="2929255" cy="4445"/>
                <wp:effectExtent l="0" t="0" r="0" b="0"/>
                <wp:wrapNone/>
                <wp:docPr id="1" name="Straight Connector 1"/>
                <a:graphic xmlns:a="http://schemas.openxmlformats.org/drawingml/2006/main">
                  <a:graphicData uri="http://schemas.microsoft.com/office/word/2010/wordprocessingShape">
                    <wps:wsp>
                      <wps:cNvSpPr/>
                      <wps:spPr>
                        <a:xfrm>
                          <a:off x="0" y="0"/>
                          <a:ext cx="2928600" cy="1800"/>
                        </a:xfrm>
                        <a:prstGeom prst="line">
                          <a:avLst/>
                        </a:prstGeom>
                        <a:ln w="22320">
                          <a:solidFill>
                            <a:srgbClr val="d4d4d4"/>
                          </a:solidFill>
                          <a:round/>
                        </a:ln>
                      </wps:spPr>
                      <wps:style>
                        <a:lnRef idx="0"/>
                        <a:fillRef idx="0"/>
                        <a:effectRef idx="0"/>
                        <a:fontRef idx="minor"/>
                      </wps:style>
                      <wps:bodyPr/>
                    </wps:wsp>
                  </a:graphicData>
                </a:graphic>
              </wp:anchor>
            </w:drawing>
          </mc:Choice>
          <mc:Fallback>
            <w:pict>
              <v:line id="shape_0" from="-4.15pt,2.45pt" to="226.4pt,2.55pt" ID="Straight Connector 1" stroked="t" style="position:absolute">
                <v:stroke color="#d4d4d4" weight="22320" joinstyle="round" endcap="flat"/>
                <v:fill o:detectmouseclick="t" on="false"/>
              </v:line>
            </w:pict>
          </mc:Fallback>
        </mc:AlternateContent>
      </w:r>
      <w:r>
        <w:rPr>
          <w:b/>
          <w:sz w:val="28"/>
          <w:szCs w:val="28"/>
          <w:lang w:val="en-GB"/>
        </w:rPr>
        <w:t>WORKS CONTRACT NOTICE</w:t>
      </w:r>
    </w:p>
    <w:p>
      <w:pPr>
        <w:pStyle w:val="Normal"/>
        <w:jc w:val="center"/>
        <w:rPr>
          <w:rStyle w:val="Strong"/>
          <w:sz w:val="22"/>
          <w:szCs w:val="22"/>
          <w:lang w:val="en-GB"/>
        </w:rPr>
      </w:pPr>
      <w:r>
        <w:rPr>
          <w:rStyle w:val="Strong"/>
          <w:sz w:val="22"/>
          <w:szCs w:val="22"/>
          <w:lang w:val="en-GB"/>
        </w:rPr>
        <w:t>&lt;Construction of green urban park in Kriva Palanka &gt;</w:t>
      </w:r>
    </w:p>
    <w:p>
      <w:pPr>
        <w:pStyle w:val="Normal"/>
        <w:jc w:val="center"/>
        <w:rPr>
          <w:rStyle w:val="Strong"/>
          <w:b w:val="false"/>
          <w:b w:val="false"/>
          <w:sz w:val="22"/>
          <w:szCs w:val="22"/>
          <w:lang w:val="en-GB"/>
        </w:rPr>
      </w:pPr>
      <w:r>
        <w:rPr>
          <w:b/>
          <w:sz w:val="22"/>
          <w:szCs w:val="22"/>
          <w:lang w:val="en-GB"/>
        </w:rPr>
        <w:t xml:space="preserve">Kriva Palanka – North East Plan Region – Republic of North Macedonia </w:t>
      </w:r>
    </w:p>
    <w:p>
      <w:pPr>
        <w:pStyle w:val="PRAGHeading2"/>
        <w:numPr>
          <w:ilvl w:val="0"/>
          <w:numId w:val="2"/>
        </w:numPr>
        <w:rPr>
          <w:rStyle w:val="Strong"/>
          <w:sz w:val="22"/>
          <w:szCs w:val="22"/>
          <w:lang w:val="en-GB"/>
        </w:rPr>
      </w:pPr>
      <w:r>
        <w:rPr>
          <w:rStyle w:val="Strong"/>
          <w:sz w:val="22"/>
          <w:szCs w:val="22"/>
          <w:lang w:val="en-GB"/>
        </w:rPr>
        <w:t>Reference</w:t>
      </w:r>
    </w:p>
    <w:p>
      <w:pPr>
        <w:pStyle w:val="Normal"/>
        <w:ind w:left="709" w:hanging="0"/>
        <w:rPr>
          <w:sz w:val="22"/>
          <w:szCs w:val="22"/>
          <w:lang w:val="en-GB"/>
        </w:rPr>
      </w:pPr>
      <w:r>
        <w:rPr>
          <w:sz w:val="22"/>
          <w:szCs w:val="22"/>
          <w:lang w:val="en-GB"/>
        </w:rPr>
        <w:t>&lt;PARKS 01-03&gt;</w:t>
      </w:r>
    </w:p>
    <w:p>
      <w:pPr>
        <w:pStyle w:val="PRAGHeading2"/>
        <w:numPr>
          <w:ilvl w:val="0"/>
          <w:numId w:val="2"/>
        </w:numPr>
        <w:rPr>
          <w:rStyle w:val="Strong"/>
          <w:sz w:val="22"/>
          <w:szCs w:val="22"/>
          <w:lang w:val="en-GB"/>
        </w:rPr>
      </w:pPr>
      <w:r>
        <w:rPr>
          <w:rStyle w:val="Strong"/>
          <w:sz w:val="22"/>
          <w:szCs w:val="22"/>
          <w:lang w:val="en-GB"/>
        </w:rPr>
        <w:t>Procedure</w:t>
      </w:r>
    </w:p>
    <w:p>
      <w:pPr>
        <w:pStyle w:val="PRAGHeading2"/>
        <w:ind w:left="709" w:hanging="0"/>
        <w:rPr>
          <w:sz w:val="22"/>
          <w:szCs w:val="22"/>
          <w:lang w:val="en-GB"/>
        </w:rPr>
      </w:pPr>
      <w:r>
        <w:rPr>
          <w:sz w:val="22"/>
          <w:szCs w:val="22"/>
          <w:lang w:val="en-GB"/>
        </w:rPr>
        <w:t>Negotiated</w:t>
      </w:r>
    </w:p>
    <w:p>
      <w:pPr>
        <w:pStyle w:val="PRAGHeading2"/>
        <w:numPr>
          <w:ilvl w:val="0"/>
          <w:numId w:val="2"/>
        </w:numPr>
        <w:rPr>
          <w:rStyle w:val="Strong"/>
          <w:sz w:val="22"/>
          <w:szCs w:val="22"/>
          <w:lang w:val="en-GB"/>
        </w:rPr>
      </w:pPr>
      <w:r>
        <w:rPr>
          <w:rStyle w:val="Strong"/>
          <w:sz w:val="22"/>
          <w:szCs w:val="22"/>
          <w:lang w:val="en-GB"/>
        </w:rPr>
        <w:t>Programme title</w:t>
      </w:r>
    </w:p>
    <w:p>
      <w:pPr>
        <w:pStyle w:val="PRAGHeading2"/>
        <w:ind w:left="709" w:hanging="0"/>
        <w:jc w:val="both"/>
        <w:rPr>
          <w:sz w:val="22"/>
          <w:szCs w:val="22"/>
          <w:lang w:val="en-GB"/>
        </w:rPr>
      </w:pPr>
      <w:r>
        <w:rPr>
          <w:sz w:val="22"/>
          <w:szCs w:val="22"/>
          <w:shd w:fill="FFFFFF" w:val="clear"/>
        </w:rPr>
        <w:t>Interreg (VI-A) IPA Bulgaria - North Macedonia 2021-2027 Programme</w:t>
      </w:r>
    </w:p>
    <w:p>
      <w:pPr>
        <w:pStyle w:val="PRAGHeading2"/>
        <w:numPr>
          <w:ilvl w:val="0"/>
          <w:numId w:val="2"/>
        </w:numPr>
        <w:jc w:val="both"/>
        <w:rPr>
          <w:rStyle w:val="Strong"/>
          <w:sz w:val="22"/>
          <w:szCs w:val="22"/>
          <w:lang w:val="en-GB"/>
        </w:rPr>
      </w:pPr>
      <w:r>
        <w:rPr>
          <w:rStyle w:val="Strong"/>
          <w:sz w:val="22"/>
          <w:szCs w:val="22"/>
          <w:lang w:val="en-GB"/>
        </w:rPr>
        <w:t>Financing</w:t>
      </w:r>
    </w:p>
    <w:p>
      <w:pPr>
        <w:pStyle w:val="Normal"/>
        <w:spacing w:before="240" w:after="100"/>
        <w:ind w:left="720" w:hanging="0"/>
        <w:jc w:val="both"/>
        <w:rPr>
          <w:sz w:val="22"/>
          <w:szCs w:val="22"/>
          <w:lang w:val="en-GB"/>
        </w:rPr>
      </w:pPr>
      <w:r>
        <w:rPr>
          <w:sz w:val="22"/>
          <w:szCs w:val="22"/>
          <w:lang w:val="en-GB"/>
        </w:rPr>
        <w:t xml:space="preserve">The project is co-financed by the European Union, in accordance with the rules of </w:t>
      </w:r>
      <w:r>
        <w:rPr>
          <w:sz w:val="22"/>
          <w:szCs w:val="22"/>
          <w:shd w:fill="FFFFFF" w:val="clear"/>
        </w:rPr>
        <w:t>Interreg (VI-A) IPA Bulgaria - North Macedonia 2021-2027 Programme</w:t>
      </w:r>
      <w:r>
        <w:rPr>
          <w:sz w:val="22"/>
          <w:szCs w:val="22"/>
          <w:lang w:val="en-GB"/>
        </w:rPr>
        <w:t>.</w:t>
      </w:r>
    </w:p>
    <w:p>
      <w:pPr>
        <w:pStyle w:val="PRAGHeading2"/>
        <w:numPr>
          <w:ilvl w:val="0"/>
          <w:numId w:val="2"/>
        </w:numPr>
        <w:jc w:val="both"/>
        <w:rPr>
          <w:rStyle w:val="Strong"/>
          <w:sz w:val="22"/>
          <w:szCs w:val="22"/>
          <w:lang w:val="en-GB"/>
        </w:rPr>
      </w:pPr>
      <w:r>
        <w:rPr>
          <w:rStyle w:val="Strong"/>
          <w:sz w:val="22"/>
          <w:szCs w:val="22"/>
          <w:lang w:val="en-GB"/>
        </w:rPr>
        <w:t>Contracting authority</w:t>
      </w:r>
    </w:p>
    <w:p>
      <w:pPr>
        <w:pStyle w:val="Blockquote"/>
        <w:ind w:left="709" w:right="360" w:hanging="0"/>
        <w:jc w:val="both"/>
        <w:rPr>
          <w:lang w:val="en-US"/>
        </w:rPr>
      </w:pPr>
      <w:r>
        <w:rPr>
          <w:bCs/>
          <w:sz w:val="21"/>
          <w:lang w:val="en-US"/>
        </w:rPr>
        <w:t>Municipality of Kriva Palanka</w:t>
      </w:r>
    </w:p>
    <w:p>
      <w:pPr>
        <w:pStyle w:val="Normal"/>
        <w:ind w:left="360" w:hanging="0"/>
        <w:jc w:val="center"/>
        <w:rPr>
          <w:rStyle w:val="Strong"/>
          <w:sz w:val="22"/>
          <w:szCs w:val="22"/>
          <w:lang w:val="en-GB"/>
        </w:rPr>
      </w:pPr>
      <w:r>
        <mc:AlternateContent>
          <mc:Choice Requires="wps">
            <w:drawing>
              <wp:anchor behindDoc="0" distT="0" distB="0" distL="0" distR="0" simplePos="0" locked="0" layoutInCell="1" allowOverlap="1" relativeHeight="5">
                <wp:simplePos x="0" y="0"/>
                <wp:positionH relativeFrom="column">
                  <wp:posOffset>28575</wp:posOffset>
                </wp:positionH>
                <wp:positionV relativeFrom="paragraph">
                  <wp:posOffset>1270</wp:posOffset>
                </wp:positionV>
                <wp:extent cx="2929255" cy="4445"/>
                <wp:effectExtent l="0" t="0" r="0" b="0"/>
                <wp:wrapNone/>
                <wp:docPr id="2" name="Straight Connector 2"/>
                <a:graphic xmlns:a="http://schemas.openxmlformats.org/drawingml/2006/main">
                  <a:graphicData uri="http://schemas.microsoft.com/office/word/2010/wordprocessingShape">
                    <wps:wsp>
                      <wps:cNvSpPr/>
                      <wps:spPr>
                        <a:xfrm>
                          <a:off x="0" y="0"/>
                          <a:ext cx="2928600" cy="1440"/>
                        </a:xfrm>
                        <a:prstGeom prst="line">
                          <a:avLst/>
                        </a:prstGeom>
                        <a:ln w="22320">
                          <a:solidFill>
                            <a:srgbClr val="d4d4d4"/>
                          </a:solidFill>
                          <a:round/>
                        </a:ln>
                      </wps:spPr>
                      <wps:style>
                        <a:lnRef idx="0"/>
                        <a:fillRef idx="0"/>
                        <a:effectRef idx="0"/>
                        <a:fontRef idx="minor"/>
                      </wps:style>
                      <wps:bodyPr/>
                    </wps:wsp>
                  </a:graphicData>
                </a:graphic>
              </wp:anchor>
            </w:drawing>
          </mc:Choice>
          <mc:Fallback>
            <w:pict>
              <v:line id="shape_0" from="2.25pt,0.1pt" to="232.8pt,0.15pt" ID="Straight Connector 2" stroked="t" style="position:absolute">
                <v:stroke color="#d4d4d4" weight="22320" joinstyle="round" endcap="flat"/>
                <v:fill o:detectmouseclick="t" on="false"/>
              </v:line>
            </w:pict>
          </mc:Fallback>
        </mc:AlternateContent>
      </w:r>
      <w:r>
        <w:rPr>
          <w:rStyle w:val="Strong"/>
          <w:sz w:val="22"/>
          <w:szCs w:val="22"/>
          <w:lang w:val="en-GB"/>
        </w:rPr>
        <w:t>CONTRACT SPECIFICATIONS</w:t>
      </w:r>
    </w:p>
    <w:p>
      <w:pPr>
        <w:pStyle w:val="PRAGHeading2"/>
        <w:numPr>
          <w:ilvl w:val="0"/>
          <w:numId w:val="2"/>
        </w:numPr>
        <w:rPr>
          <w:rStyle w:val="Strong"/>
          <w:sz w:val="22"/>
          <w:szCs w:val="22"/>
          <w:lang w:val="en-GB"/>
        </w:rPr>
      </w:pPr>
      <w:r>
        <w:rPr>
          <w:rStyle w:val="Strong"/>
          <w:sz w:val="22"/>
          <w:szCs w:val="22"/>
          <w:lang w:val="en-GB"/>
        </w:rPr>
        <w:t>Nature of contract</w:t>
      </w:r>
    </w:p>
    <w:p>
      <w:pPr>
        <w:pStyle w:val="PRAGHeading2"/>
        <w:ind w:left="720" w:hanging="0"/>
        <w:rPr>
          <w:rStyle w:val="Strong"/>
          <w:b w:val="false"/>
          <w:b w:val="false"/>
          <w:sz w:val="22"/>
          <w:szCs w:val="22"/>
          <w:lang w:val="en-GB"/>
        </w:rPr>
      </w:pPr>
      <w:r>
        <w:rPr>
          <w:rStyle w:val="Strong"/>
          <w:b w:val="false"/>
          <w:sz w:val="22"/>
          <w:szCs w:val="22"/>
          <w:lang w:val="en-GB"/>
        </w:rPr>
        <w:t>&lt;Unit price&gt;</w:t>
      </w:r>
    </w:p>
    <w:p>
      <w:pPr>
        <w:pStyle w:val="PRAGHeading2"/>
        <w:numPr>
          <w:ilvl w:val="0"/>
          <w:numId w:val="2"/>
        </w:numPr>
        <w:rPr>
          <w:rStyle w:val="Strong"/>
          <w:sz w:val="22"/>
          <w:szCs w:val="22"/>
          <w:lang w:val="en-GB"/>
        </w:rPr>
      </w:pPr>
      <w:r>
        <w:rPr>
          <w:rStyle w:val="Strong"/>
          <w:sz w:val="22"/>
          <w:szCs w:val="22"/>
          <w:lang w:val="en-GB"/>
        </w:rPr>
        <w:t>Description of the contract</w:t>
      </w:r>
    </w:p>
    <w:p>
      <w:pPr>
        <w:pStyle w:val="Normal"/>
        <w:ind w:left="709" w:hanging="0"/>
        <w:jc w:val="both"/>
        <w:rPr/>
      </w:pPr>
      <w:r>
        <w:rPr>
          <w:sz w:val="22"/>
          <w:szCs w:val="22"/>
          <w:lang w:val="en-US"/>
        </w:rPr>
        <w:t>The project aligns with the objectives of the Greenery Program of the Municipality of Kriva Palanka, aiming to develop a green space that enhances the local community's environment. The initiative includes the construction of "green islands" featuring grass, shrubs, and ambient trees selected to suit local conditions, with each plant chosen following comprehensive soil analysis conducted by relevant experts. These islands will be designed with canopies and urban equipment, creating green urban spaces accessible and enjoyable for all generations. In addition, the project encompasses electrical work for lighting and a self-sustaining irrigation and sewage system. Paths between the green islands will be crafted with locally sourced materials to integrate seamlessly with the surrounding environment. This contract involves selecting a contractor to construct the green urban park within the Edinstvo neighborhood, located in the urban area of Kriva Palanka.</w:t>
      </w:r>
    </w:p>
    <w:p>
      <w:pPr>
        <w:pStyle w:val="PRAGHeading2"/>
        <w:numPr>
          <w:ilvl w:val="0"/>
          <w:numId w:val="2"/>
        </w:numPr>
        <w:rPr>
          <w:rStyle w:val="Strong"/>
          <w:sz w:val="22"/>
          <w:szCs w:val="22"/>
          <w:lang w:val="en-GB"/>
        </w:rPr>
      </w:pPr>
      <w:r>
        <w:rPr>
          <w:rStyle w:val="Strong"/>
          <w:sz w:val="22"/>
          <w:szCs w:val="22"/>
          <w:lang w:val="en-GB"/>
        </w:rPr>
        <w:t>Provisional commencement date of the contract</w:t>
      </w:r>
    </w:p>
    <w:p>
      <w:pPr>
        <w:pStyle w:val="Normal"/>
        <w:ind w:left="709" w:hanging="0"/>
        <w:rPr/>
      </w:pPr>
      <w:r>
        <w:rPr>
          <w:sz w:val="22"/>
          <w:szCs w:val="22"/>
          <w:lang w:val="mk-MK"/>
        </w:rPr>
        <w:t>10</w:t>
      </w:r>
      <w:r>
        <w:rPr>
          <w:sz w:val="22"/>
          <w:szCs w:val="22"/>
          <w:lang w:val="en-GB"/>
        </w:rPr>
        <w:t>.</w:t>
      </w:r>
      <w:r>
        <w:rPr>
          <w:sz w:val="22"/>
          <w:szCs w:val="22"/>
          <w:lang w:val="mk-MK"/>
        </w:rPr>
        <w:t>01</w:t>
      </w:r>
      <w:r>
        <w:rPr>
          <w:sz w:val="22"/>
          <w:szCs w:val="22"/>
          <w:lang w:val="en-GB"/>
        </w:rPr>
        <w:t>.202</w:t>
      </w:r>
      <w:r>
        <w:rPr>
          <w:sz w:val="22"/>
          <w:szCs w:val="22"/>
          <w:lang w:val="mk-MK"/>
        </w:rPr>
        <w:t>5</w:t>
      </w:r>
    </w:p>
    <w:p>
      <w:pPr>
        <w:pStyle w:val="PRAGHeading2"/>
        <w:numPr>
          <w:ilvl w:val="0"/>
          <w:numId w:val="2"/>
        </w:numPr>
        <w:rPr>
          <w:rStyle w:val="Strong"/>
          <w:b w:val="false"/>
          <w:b w:val="false"/>
          <w:sz w:val="22"/>
          <w:szCs w:val="22"/>
          <w:lang w:val="en-GB"/>
        </w:rPr>
      </w:pPr>
      <w:r>
        <w:rPr>
          <w:rStyle w:val="Strong"/>
          <w:b w:val="false"/>
          <w:sz w:val="22"/>
          <w:szCs w:val="22"/>
          <w:lang w:val="en-GB"/>
        </w:rPr>
        <w:t>P</w:t>
      </w:r>
      <w:r>
        <w:rPr>
          <w:b/>
          <w:sz w:val="22"/>
          <w:szCs w:val="22"/>
          <w:lang w:val="en-GB"/>
        </w:rPr>
        <w:t>eriod of implementation of tasks</w:t>
      </w:r>
    </w:p>
    <w:p>
      <w:pPr>
        <w:pStyle w:val="PRAGHeading2"/>
        <w:ind w:left="284" w:firstLine="425"/>
        <w:rPr/>
      </w:pPr>
      <w:r>
        <w:rPr>
          <w:lang w:val="mk-MK"/>
        </w:rPr>
        <w:t>10</w:t>
      </w:r>
      <w:r>
        <w:rPr>
          <w:lang w:val="en-GB"/>
        </w:rPr>
        <w:t>.</w:t>
      </w:r>
      <w:r>
        <w:rPr>
          <w:lang w:val="mk-MK"/>
        </w:rPr>
        <w:t>01</w:t>
      </w:r>
      <w:r>
        <w:rPr>
          <w:lang w:val="en-GB"/>
        </w:rPr>
        <w:t>.202</w:t>
      </w:r>
      <w:r>
        <w:rPr>
          <w:lang w:val="mk-MK"/>
        </w:rPr>
        <w:t>5</w:t>
      </w:r>
      <w:r>
        <w:rPr>
          <w:lang w:val="en-GB"/>
        </w:rPr>
        <w:t xml:space="preserve"> – </w:t>
      </w:r>
      <w:r>
        <w:rPr>
          <w:lang w:val="mk-MK"/>
        </w:rPr>
        <w:t>10</w:t>
      </w:r>
      <w:r>
        <w:rPr>
          <w:lang w:val="en-GB"/>
        </w:rPr>
        <w:t>.</w:t>
      </w:r>
      <w:r>
        <w:rPr>
          <w:lang w:val="mk-MK"/>
        </w:rPr>
        <w:t>01</w:t>
      </w:r>
      <w:r>
        <w:rPr>
          <w:lang w:val="en-GB"/>
        </w:rPr>
        <w:t>.202</w:t>
      </w:r>
      <w:r>
        <w:rPr>
          <w:lang w:val="mk-MK"/>
        </w:rPr>
        <w:t>6</w:t>
      </w:r>
    </w:p>
    <w:p>
      <w:pPr>
        <w:pStyle w:val="Normal"/>
        <w:ind w:left="709" w:hanging="0"/>
        <w:rPr>
          <w:sz w:val="22"/>
          <w:szCs w:val="22"/>
          <w:lang w:val="en-GB"/>
        </w:rPr>
      </w:pPr>
      <w:r>
        <w:rPr>
          <w:sz w:val="22"/>
          <w:szCs w:val="22"/>
          <w:lang w:val="en-GB"/>
        </w:rPr>
        <mc:AlternateContent>
          <mc:Choice Requires="wps">
            <w:drawing>
              <wp:anchor behindDoc="0" distT="0" distB="0" distL="0" distR="0" simplePos="0" locked="0" layoutInCell="1" allowOverlap="1" relativeHeight="6">
                <wp:simplePos x="0" y="0"/>
                <wp:positionH relativeFrom="column">
                  <wp:posOffset>104775</wp:posOffset>
                </wp:positionH>
                <wp:positionV relativeFrom="paragraph">
                  <wp:posOffset>132080</wp:posOffset>
                </wp:positionV>
                <wp:extent cx="2929255" cy="4445"/>
                <wp:effectExtent l="0" t="0" r="0" b="0"/>
                <wp:wrapNone/>
                <wp:docPr id="3" name="Straight Connector 3"/>
                <a:graphic xmlns:a="http://schemas.openxmlformats.org/drawingml/2006/main">
                  <a:graphicData uri="http://schemas.microsoft.com/office/word/2010/wordprocessingShape">
                    <wps:wsp>
                      <wps:cNvSpPr/>
                      <wps:spPr>
                        <a:xfrm>
                          <a:off x="0" y="0"/>
                          <a:ext cx="2928600" cy="1440"/>
                        </a:xfrm>
                        <a:prstGeom prst="line">
                          <a:avLst/>
                        </a:prstGeom>
                        <a:ln w="22320">
                          <a:solidFill>
                            <a:srgbClr val="d4d4d4"/>
                          </a:solidFill>
                          <a:round/>
                        </a:ln>
                      </wps:spPr>
                      <wps:style>
                        <a:lnRef idx="0"/>
                        <a:fillRef idx="0"/>
                        <a:effectRef idx="0"/>
                        <a:fontRef idx="minor"/>
                      </wps:style>
                      <wps:bodyPr/>
                    </wps:wsp>
                  </a:graphicData>
                </a:graphic>
              </wp:anchor>
            </w:drawing>
          </mc:Choice>
          <mc:Fallback>
            <w:pict>
              <v:line id="shape_0" from="8.25pt,10.4pt" to="238.8pt,10.45pt" ID="Straight Connector 3" stroked="t" style="position:absolute">
                <v:stroke color="#d4d4d4" weight="22320" joinstyle="round" endcap="flat"/>
                <v:fill o:detectmouseclick="t" on="false"/>
              </v:line>
            </w:pict>
          </mc:Fallback>
        </mc:AlternateContent>
      </w:r>
    </w:p>
    <w:p>
      <w:pPr>
        <w:pStyle w:val="Normal"/>
        <w:ind w:left="360" w:hanging="0"/>
        <w:jc w:val="center"/>
        <w:rPr>
          <w:rStyle w:val="Strong"/>
          <w:sz w:val="22"/>
          <w:szCs w:val="22"/>
          <w:lang w:val="en-GB"/>
        </w:rPr>
      </w:pPr>
      <w:r>
        <w:rPr>
          <w:rStyle w:val="Strong"/>
          <w:sz w:val="22"/>
          <w:szCs w:val="22"/>
          <w:lang w:val="en-GB"/>
        </w:rPr>
        <w:t>CONDITIONS OF PARTICIPATION</w:t>
      </w:r>
    </w:p>
    <w:p>
      <w:pPr>
        <w:pStyle w:val="PRAGHeading2"/>
        <w:numPr>
          <w:ilvl w:val="0"/>
          <w:numId w:val="2"/>
        </w:numPr>
        <w:tabs>
          <w:tab w:val="clear" w:pos="720"/>
          <w:tab w:val="left" w:pos="567" w:leader="none"/>
        </w:tabs>
        <w:ind w:left="426" w:hanging="426"/>
        <w:rPr>
          <w:rStyle w:val="Strong"/>
          <w:sz w:val="22"/>
          <w:szCs w:val="22"/>
          <w:lang w:val="en-GB"/>
        </w:rPr>
      </w:pPr>
      <w:r>
        <w:rPr>
          <w:rStyle w:val="Strong"/>
          <w:sz w:val="22"/>
          <w:szCs w:val="22"/>
          <w:lang w:val="en-GB"/>
        </w:rPr>
        <w:t>Legal basis, eligibility and rules of origin</w:t>
      </w:r>
    </w:p>
    <w:p>
      <w:pPr>
        <w:pStyle w:val="Paragraph"/>
        <w:spacing w:beforeAutospacing="0" w:before="0" w:afterAutospacing="0" w:after="0"/>
        <w:ind w:left="426" w:hanging="0"/>
        <w:jc w:val="both"/>
        <w:textAlignment w:val="baseline"/>
        <w:rPr/>
      </w:pPr>
      <w:r>
        <w:rPr>
          <w:iCs/>
          <w:sz w:val="22"/>
          <w:szCs w:val="22"/>
          <w:lang w:val="en-IE"/>
        </w:rPr>
        <w:t>The legal basis of this procedure is Regulation (EU) No[1529]establishing the Instrument for Pre-accession Assistance (IPA III).</w:t>
      </w:r>
      <w:r>
        <w:rPr>
          <w:rStyle w:val="Normaltextrun"/>
          <w:sz w:val="22"/>
          <w:szCs w:val="22"/>
          <w:lang w:val="en-GB"/>
        </w:rPr>
        <w:t>See Annex A2 of the practical guide.</w:t>
      </w:r>
    </w:p>
    <w:p>
      <w:pPr>
        <w:pStyle w:val="Paragraph"/>
        <w:spacing w:beforeAutospacing="0" w:before="0" w:afterAutospacing="0" w:after="0"/>
        <w:ind w:left="426" w:hanging="0"/>
        <w:jc w:val="both"/>
        <w:textAlignment w:val="baseline"/>
        <w:rPr/>
      </w:pPr>
      <w:r>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11 of Regulation (EU) No[1529] establishing the Instrument for Pre-accession Assistance (IPA III). </w:t>
      </w:r>
    </w:p>
    <w:p>
      <w:pPr>
        <w:pStyle w:val="Paragraph"/>
        <w:spacing w:beforeAutospacing="0" w:before="0" w:afterAutospacing="0" w:after="0"/>
        <w:ind w:left="426" w:right="270" w:hanging="0"/>
        <w:jc w:val="both"/>
        <w:textAlignment w:val="baseline"/>
        <w:rPr>
          <w:rStyle w:val="Normaltextrun"/>
          <w:sz w:val="22"/>
          <w:szCs w:val="22"/>
          <w:highlight w:val="lightGray"/>
          <w:lang w:val="en-GB"/>
        </w:rPr>
      </w:pPr>
      <w:r>
        <w:rPr>
          <w:sz w:val="22"/>
          <w:szCs w:val="22"/>
          <w:highlight w:val="lightGray"/>
          <w:lang w:val="en-GB"/>
        </w:rPr>
      </w:r>
    </w:p>
    <w:p>
      <w:pPr>
        <w:pStyle w:val="PRAGHeading2"/>
        <w:keepNext w:val="true"/>
        <w:keepLines/>
        <w:numPr>
          <w:ilvl w:val="0"/>
          <w:numId w:val="2"/>
        </w:numPr>
        <w:jc w:val="both"/>
        <w:rPr/>
      </w:pPr>
      <w:bookmarkStart w:id="0" w:name="_DV_M201"/>
      <w:bookmarkEnd w:id="0"/>
      <w:r>
        <w:rPr>
          <w:rStyle w:val="Strong"/>
          <w:sz w:val="22"/>
          <w:szCs w:val="22"/>
          <w:lang w:val="en-GB"/>
        </w:rPr>
        <w:t>Subcontracting</w:t>
      </w:r>
    </w:p>
    <w:p>
      <w:pPr>
        <w:pStyle w:val="PRAGHeading2"/>
        <w:keepNext w:val="true"/>
        <w:keepLines/>
        <w:ind w:left="720" w:hanging="0"/>
        <w:jc w:val="both"/>
        <w:rPr>
          <w:sz w:val="22"/>
          <w:szCs w:val="22"/>
          <w:lang w:val="en-GB"/>
        </w:rPr>
      </w:pPr>
      <w:r>
        <w:rPr>
          <w:rStyle w:val="Strong"/>
          <w:b w:val="false"/>
          <w:sz w:val="22"/>
          <w:szCs w:val="22"/>
          <w:lang w:val="en-GB"/>
        </w:rPr>
        <w:t xml:space="preserve">Subcontracting is not allowed. </w:t>
      </w:r>
    </w:p>
    <w:p>
      <w:pPr>
        <w:pStyle w:val="PRAGHeading2"/>
        <w:numPr>
          <w:ilvl w:val="0"/>
          <w:numId w:val="2"/>
        </w:numPr>
        <w:jc w:val="both"/>
        <w:rPr>
          <w:rStyle w:val="Strong"/>
          <w:sz w:val="22"/>
          <w:szCs w:val="22"/>
          <w:lang w:val="en-GB"/>
        </w:rPr>
      </w:pPr>
      <w:r>
        <w:rPr>
          <w:rStyle w:val="Strong"/>
          <w:sz w:val="22"/>
          <w:szCs w:val="22"/>
          <w:lang w:val="en-GB"/>
        </w:rPr>
        <w:t>Grounds for exclusion</w:t>
      </w:r>
    </w:p>
    <w:p>
      <w:pPr>
        <w:pStyle w:val="Normal"/>
        <w:keepNext w:val="true"/>
        <w:keepLines/>
        <w:ind w:left="709" w:hanging="0"/>
        <w:jc w:val="both"/>
        <w:rPr>
          <w:sz w:val="22"/>
          <w:szCs w:val="22"/>
          <w:lang w:val="en-GB"/>
        </w:rPr>
      </w:pPr>
      <w:r>
        <w:rPr>
          <w:sz w:val="22"/>
          <w:szCs w:val="22"/>
          <w:lang w:val="en-GB"/>
        </w:rPr>
        <w:t>Natural persons, companies or undertakings falling into a situation set out in Section 2.6.10.1.1. (‘exclusion from participation in procurement procedures’) and Section 2.6.10.1.2. (‘rejection from a given procedure’) of the practical guide,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Section 2.6.10.1. of the practical guide. The declarations must cover all the members of a joint venture/consortium. Tenderers guilty of making false declarations may also incur financial penalties up to 10% of the value of the contract and exclusion in accordance with the Financial Regulation in force.</w:t>
      </w:r>
    </w:p>
    <w:p>
      <w:pPr>
        <w:pStyle w:val="Normal"/>
        <w:keepNext w:val="true"/>
        <w:keepLines/>
        <w:ind w:left="709" w:hanging="0"/>
        <w:jc w:val="both"/>
        <w:rPr>
          <w:sz w:val="22"/>
          <w:szCs w:val="22"/>
          <w:lang w:val="en-GB"/>
        </w:rPr>
      </w:pPr>
      <w:r>
        <w:rPr>
          <w:sz w:val="22"/>
          <w:szCs w:val="22"/>
          <w:lang w:val="en-GB"/>
        </w:rPr>
        <w:t>Those exclusion situations apply to all members of a joint venture/consortium, all subcontractors and all suppliers to tenderers, as well as to all entities upon whose capacity the tenderer relies for the selection criteria.</w:t>
      </w:r>
    </w:p>
    <w:p>
      <w:pPr>
        <w:pStyle w:val="Normal"/>
        <w:keepNext w:val="true"/>
        <w:keepLines/>
        <w:ind w:left="709" w:hanging="0"/>
        <w:jc w:val="both"/>
        <w:rPr>
          <w:sz w:val="22"/>
          <w:szCs w:val="22"/>
          <w:lang w:val="en-GB"/>
        </w:rPr>
      </w:pPr>
      <w:r>
        <w:rPr>
          <w:sz w:val="22"/>
          <w:szCs w:val="22"/>
          <w:lang w:val="en-GB"/>
        </w:rPr>
        <w:t>Tenderers included in the lists of EU restrictive measures (see Section 2.4. of the PRAG) at the moment of the award decision cannot be awarded the contract.</w:t>
      </w:r>
    </w:p>
    <w:p>
      <w:pPr>
        <w:pStyle w:val="PRAGHeading2"/>
        <w:numPr>
          <w:ilvl w:val="0"/>
          <w:numId w:val="2"/>
        </w:numPr>
        <w:jc w:val="both"/>
        <w:rPr>
          <w:rStyle w:val="Strong"/>
          <w:sz w:val="22"/>
          <w:szCs w:val="22"/>
          <w:lang w:val="en-GB"/>
        </w:rPr>
      </w:pPr>
      <w:r>
        <w:rPr>
          <w:rStyle w:val="Strong"/>
          <w:sz w:val="22"/>
          <w:szCs w:val="22"/>
          <w:lang w:val="en-GB"/>
        </w:rPr>
        <w:t>Number of tenders</w:t>
      </w:r>
    </w:p>
    <w:p>
      <w:pPr>
        <w:pStyle w:val="Normal"/>
        <w:ind w:left="709" w:hanging="0"/>
        <w:jc w:val="both"/>
        <w:rPr>
          <w:sz w:val="22"/>
          <w:szCs w:val="22"/>
          <w:lang w:val="en-GB"/>
        </w:rPr>
      </w:pPr>
      <w:r>
        <w:rPr>
          <w:sz w:val="22"/>
          <w:szCs w:val="22"/>
          <w:lang w:val="en-GB"/>
        </w:rPr>
        <w:t>Tenderers may submit only one tender. Tenders for parts of the works will not be considered. Tenderers may not submit a tender for a variant solution in addition to their tender for the works required in the tender dossier.</w:t>
      </w:r>
    </w:p>
    <w:p>
      <w:pPr>
        <w:pStyle w:val="Normal"/>
        <w:keepNext w:val="true"/>
        <w:keepLines/>
        <w:jc w:val="both"/>
        <w:rPr>
          <w:sz w:val="22"/>
          <w:szCs w:val="22"/>
          <w:lang w:val="en-GB"/>
        </w:rPr>
      </w:pPr>
      <w:r>
        <w:rPr>
          <w:sz w:val="22"/>
          <w:szCs w:val="22"/>
          <w:lang w:val="en-GB"/>
        </w:rPr>
        <mc:AlternateContent>
          <mc:Choice Requires="wps">
            <w:drawing>
              <wp:anchor behindDoc="0" distT="0" distB="0" distL="0" distR="0" simplePos="0" locked="0" layoutInCell="1" allowOverlap="1" relativeHeight="2">
                <wp:simplePos x="0" y="0"/>
                <wp:positionH relativeFrom="column">
                  <wp:posOffset>0</wp:posOffset>
                </wp:positionH>
                <wp:positionV relativeFrom="paragraph">
                  <wp:posOffset>154940</wp:posOffset>
                </wp:positionV>
                <wp:extent cx="2929255" cy="4445"/>
                <wp:effectExtent l="0" t="0" r="0" b="0"/>
                <wp:wrapNone/>
                <wp:docPr id="4" name="Straight Connector 4"/>
                <a:graphic xmlns:a="http://schemas.openxmlformats.org/drawingml/2006/main">
                  <a:graphicData uri="http://schemas.microsoft.com/office/word/2010/wordprocessingShape">
                    <wps:wsp>
                      <wps:cNvSpPr/>
                      <wps:spPr>
                        <a:xfrm>
                          <a:off x="0" y="0"/>
                          <a:ext cx="2928600" cy="1800"/>
                        </a:xfrm>
                        <a:prstGeom prst="line">
                          <a:avLst/>
                        </a:prstGeom>
                        <a:ln w="22320">
                          <a:solidFill>
                            <a:srgbClr val="d4d4d4"/>
                          </a:solidFill>
                          <a:round/>
                        </a:ln>
                      </wps:spPr>
                      <wps:style>
                        <a:lnRef idx="0"/>
                        <a:fillRef idx="0"/>
                        <a:effectRef idx="0"/>
                        <a:fontRef idx="minor"/>
                      </wps:style>
                      <wps:bodyPr/>
                    </wps:wsp>
                  </a:graphicData>
                </a:graphic>
              </wp:anchor>
            </w:drawing>
          </mc:Choice>
          <mc:Fallback>
            <w:pict>
              <v:line id="shape_0" from="0pt,12.2pt" to="230.55pt,12.3pt" ID="Straight Connector 4" stroked="t" style="position:absolute">
                <v:stroke color="#d4d4d4" weight="22320" joinstyle="round" endcap="flat"/>
                <v:fill o:detectmouseclick="t" on="false"/>
              </v:line>
            </w:pict>
          </mc:Fallback>
        </mc:AlternateContent>
      </w:r>
    </w:p>
    <w:p>
      <w:pPr>
        <w:pStyle w:val="Normal"/>
        <w:keepNext w:val="true"/>
        <w:keepLines/>
        <w:ind w:left="360" w:hanging="0"/>
        <w:jc w:val="both"/>
        <w:rPr>
          <w:rStyle w:val="Strong"/>
          <w:sz w:val="22"/>
          <w:szCs w:val="22"/>
          <w:lang w:val="en-GB"/>
        </w:rPr>
      </w:pPr>
      <w:r>
        <w:rPr>
          <w:rStyle w:val="Strong"/>
          <w:sz w:val="22"/>
          <w:szCs w:val="22"/>
          <w:lang w:val="en-GB"/>
        </w:rPr>
        <w:t>SELECTION AND AWARD CRITERIA</w:t>
      </w:r>
    </w:p>
    <w:p>
      <w:pPr>
        <w:pStyle w:val="PRAGHeading2"/>
        <w:numPr>
          <w:ilvl w:val="0"/>
          <w:numId w:val="2"/>
        </w:numPr>
        <w:jc w:val="both"/>
        <w:rPr>
          <w:rStyle w:val="Strong"/>
          <w:sz w:val="22"/>
          <w:szCs w:val="22"/>
          <w:lang w:val="en-GB"/>
        </w:rPr>
      </w:pPr>
      <w:r>
        <w:rPr>
          <w:rStyle w:val="Strong"/>
          <w:sz w:val="22"/>
          <w:szCs w:val="22"/>
          <w:lang w:val="en-GB"/>
        </w:rPr>
        <w:t>Selection criteria</w:t>
      </w:r>
    </w:p>
    <w:p>
      <w:pPr>
        <w:pStyle w:val="Heading3"/>
        <w:numPr>
          <w:ilvl w:val="0"/>
          <w:numId w:val="0"/>
        </w:numPr>
        <w:ind w:left="720" w:hanging="0"/>
        <w:rPr>
          <w:lang w:val="en-US"/>
        </w:rPr>
      </w:pPr>
      <w:r>
        <w:rPr>
          <w:lang w:val="en-US"/>
        </w:rPr>
        <w:t>In order to be eligible for the award of the contract, tenderers must provide evidence that they meet the selection criteria. If a tender is submitted by a consortium, unless specified, the selection criteria will be applied to the consortium as a whole.</w:t>
      </w:r>
    </w:p>
    <w:p>
      <w:pPr>
        <w:pStyle w:val="Normal"/>
        <w:ind w:left="720" w:hanging="0"/>
        <w:jc w:val="both"/>
        <w:rPr>
          <w:sz w:val="22"/>
          <w:lang w:val="en-GB"/>
        </w:rPr>
      </w:pPr>
      <w:r>
        <w:rPr>
          <w:sz w:val="22"/>
          <w:lang w:val="en-GB"/>
        </w:rPr>
        <w:t>The selection criteria for each tenderer are as follows:</w:t>
      </w:r>
    </w:p>
    <w:p>
      <w:pPr>
        <w:pStyle w:val="Normal"/>
        <w:ind w:left="720" w:hanging="0"/>
        <w:jc w:val="both"/>
        <w:rPr>
          <w:b/>
          <w:b/>
          <w:i/>
          <w:i/>
          <w:sz w:val="22"/>
          <w:u w:val="single"/>
          <w:lang w:val="en-GB"/>
        </w:rPr>
      </w:pPr>
      <w:r>
        <w:rPr>
          <w:b/>
          <w:i/>
          <w:sz w:val="22"/>
          <w:lang w:val="en-GB"/>
        </w:rPr>
        <w:t>14.a</w:t>
        <w:tab/>
      </w:r>
      <w:r>
        <w:rPr>
          <w:b/>
          <w:i/>
          <w:sz w:val="22"/>
          <w:u w:val="single"/>
          <w:lang w:val="en-GB"/>
        </w:rPr>
        <w:t>Economic and financial capacity of candidate:</w:t>
      </w:r>
    </w:p>
    <w:p>
      <w:pPr>
        <w:pStyle w:val="Normal"/>
        <w:ind w:left="1134" w:hanging="284"/>
        <w:jc w:val="both"/>
        <w:rPr/>
      </w:pPr>
      <w:r>
        <w:rPr>
          <w:b/>
          <w:sz w:val="22"/>
          <w:lang w:val="en-GB"/>
        </w:rPr>
        <w:t>-</w:t>
        <w:tab/>
      </w:r>
      <w:r>
        <w:rPr>
          <w:sz w:val="22"/>
          <w:lang w:val="en-GB"/>
        </w:rPr>
        <w:t xml:space="preserve">the average annual turnover of the tenderer in the past three (3) years must be at least EUR </w:t>
      </w:r>
      <w:r>
        <w:rPr>
          <w:sz w:val="22"/>
          <w:lang w:val="mk-MK"/>
        </w:rPr>
        <w:t>3</w:t>
      </w:r>
      <w:r>
        <w:rPr>
          <w:sz w:val="22"/>
          <w:lang w:val="en-GB"/>
        </w:rPr>
        <w:t>00.000,00</w:t>
      </w:r>
    </w:p>
    <w:p>
      <w:pPr>
        <w:pStyle w:val="Normal"/>
        <w:ind w:left="1134" w:hanging="284"/>
        <w:jc w:val="both"/>
        <w:rPr>
          <w:sz w:val="22"/>
          <w:lang w:val="en-GB"/>
        </w:rPr>
      </w:pPr>
      <w:r>
        <w:rPr>
          <w:b/>
          <w:sz w:val="22"/>
          <w:lang w:val="en-GB"/>
        </w:rPr>
        <w:t>-</w:t>
      </w:r>
      <w:r>
        <w:rPr>
          <w:sz w:val="22"/>
          <w:lang w:val="en-GB"/>
        </w:rPr>
        <w:tab/>
        <w:t>the tenderer must have access to an amount of credit which exceeds 100.000,00 EUR</w:t>
      </w:r>
    </w:p>
    <w:p>
      <w:pPr>
        <w:pStyle w:val="Normal"/>
        <w:ind w:left="1134" w:hanging="284"/>
        <w:jc w:val="both"/>
        <w:rPr>
          <w:b/>
          <w:b/>
          <w:i/>
          <w:i/>
          <w:sz w:val="22"/>
          <w:lang w:val="en-GB"/>
        </w:rPr>
      </w:pPr>
      <w:r>
        <w:rPr>
          <w:b/>
          <w:i/>
          <w:sz w:val="22"/>
          <w:lang w:val="en-GB"/>
        </w:rPr>
        <w:t>14.b</w:t>
        <w:tab/>
      </w:r>
      <w:r>
        <w:rPr>
          <w:b/>
          <w:i/>
          <w:sz w:val="22"/>
          <w:u w:val="single"/>
          <w:lang w:val="en-GB"/>
        </w:rPr>
        <w:t>Technical and professional capacity of candidate:</w:t>
      </w:r>
    </w:p>
    <w:p>
      <w:pPr>
        <w:pStyle w:val="Normal"/>
        <w:ind w:left="1134" w:hanging="284"/>
        <w:jc w:val="both"/>
        <w:rPr/>
      </w:pPr>
      <w:r>
        <w:rPr>
          <w:b/>
          <w:sz w:val="22"/>
          <w:lang w:val="en-GB"/>
        </w:rPr>
        <w:t>-</w:t>
        <w:tab/>
      </w:r>
      <w:r>
        <w:rPr>
          <w:sz w:val="22"/>
          <w:lang w:val="en-GB"/>
        </w:rPr>
        <w:t>it must have completed at least &lt;</w:t>
      </w:r>
      <w:r>
        <w:rPr>
          <w:sz w:val="22"/>
          <w:lang w:val="en-US"/>
        </w:rPr>
        <w:t>2</w:t>
      </w:r>
      <w:r>
        <w:rPr>
          <w:sz w:val="22"/>
          <w:lang w:val="en-GB"/>
        </w:rPr>
        <w:t xml:space="preserve">&gt; projects of the same nature/amount/complexity as the works </w:t>
      </w:r>
      <w:r>
        <w:rPr>
          <w:b/>
          <w:sz w:val="22"/>
          <w:lang w:val="en-GB"/>
        </w:rPr>
        <w:t>concerned</w:t>
      </w:r>
      <w:r>
        <w:rPr>
          <w:sz w:val="22"/>
          <w:lang w:val="en-GB"/>
        </w:rPr>
        <w:t xml:space="preserve"> by the tender and implemented during the following period: five years  counting from the submission deadline (</w:t>
      </w:r>
      <w:r>
        <w:rPr>
          <w:sz w:val="22"/>
          <w:lang w:val="mk-MK"/>
        </w:rPr>
        <w:t>30</w:t>
      </w:r>
      <w:r>
        <w:rPr>
          <w:sz w:val="22"/>
          <w:lang w:val="en-GB"/>
        </w:rPr>
        <w:t>.12.2024). The contracting authority reserves the right to ask for copies of certificates of final acceptance signed by the supervisors/contracting authority of the projects concerned.</w:t>
      </w:r>
    </w:p>
    <w:p>
      <w:pPr>
        <w:pStyle w:val="Normal"/>
        <w:ind w:left="1134" w:hanging="284"/>
        <w:jc w:val="both"/>
        <w:rPr>
          <w:sz w:val="22"/>
          <w:u w:val="single"/>
          <w:lang w:val="en-GB"/>
        </w:rPr>
      </w:pPr>
      <w:r>
        <w:rPr>
          <w:sz w:val="22"/>
          <w:u w:val="single"/>
          <w:lang w:val="en-GB"/>
        </w:rPr>
        <w:t>Capacity-providing entities:</w:t>
      </w:r>
    </w:p>
    <w:p>
      <w:pPr>
        <w:pStyle w:val="Normal"/>
        <w:ind w:left="1134" w:hanging="284"/>
        <w:jc w:val="both"/>
        <w:rPr>
          <w:sz w:val="22"/>
          <w:lang w:val="en-GB"/>
        </w:rPr>
      </w:pPr>
      <w:r>
        <w:rPr>
          <w:sz w:val="22"/>
          <w:lang w:val="en-GB"/>
        </w:rPr>
        <w:t xml:space="preserve">An economic operator may, where appropriate and for a particular contract, rely on the capacity of other entities, regardless of the legal nature of the links which it has with them. If the tenderer relies on other entities, it must prove to the contracting authority that it will have at its disposal the resources necessary to perform the contract by producing a commitment on the part of those entities to place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Furthermore, the tender should include a separate document providing data on this third entity for the relevant selection criterion. Proof of capacity must be provided at the request of the contracting authority.  </w:t>
      </w:r>
    </w:p>
    <w:p>
      <w:pPr>
        <w:pStyle w:val="Normal"/>
        <w:ind w:left="1134" w:hanging="284"/>
        <w:jc w:val="both"/>
        <w:rPr>
          <w:sz w:val="22"/>
          <w:lang w:val="en-GB"/>
        </w:rPr>
      </w:pPr>
      <w:r>
        <w:rPr>
          <w:sz w:val="22"/>
          <w:lang w:val="en-GB"/>
        </w:rPr>
        <w:t>With regard to technical and professional criteria, a tenderer may only rely on the capacities of other entities where the latter will perform the works for which these capacities are required.</w:t>
      </w:r>
    </w:p>
    <w:p>
      <w:pPr>
        <w:pStyle w:val="Normal"/>
        <w:ind w:left="1134" w:hanging="284"/>
        <w:jc w:val="both"/>
        <w:rPr>
          <w:sz w:val="22"/>
          <w:highlight w:val="yellow"/>
          <w:lang w:val="en-GB"/>
        </w:rPr>
      </w:pPr>
      <w:r>
        <w:rPr>
          <w:sz w:val="22"/>
          <w:lang w:val="en-GB"/>
        </w:rPr>
        <w:t>With regard to economic and financial criteria, the entities upon whose capacity the tenderer relies, become jointly and severally liable for the performance of the contract.</w:t>
      </w:r>
    </w:p>
    <w:p>
      <w:pPr>
        <w:pStyle w:val="Normal"/>
        <w:widowControl/>
        <w:bidi w:val="0"/>
        <w:snapToGrid w:val="false"/>
        <w:spacing w:before="100" w:after="0"/>
        <w:ind w:left="629" w:right="0" w:hanging="0"/>
        <w:jc w:val="both"/>
        <w:rPr/>
      </w:pPr>
      <w:r>
        <w:rPr>
          <w:lang w:val="en-GB"/>
        </w:rPr>
        <w:t>Financial data to be provided by the tenderer in relation to the selection criteria must be expressed in [EUR]. If applicable, where a candidate refers to amounts originally expressed in a different currency, the conversion to [EUR] shall be made in accordance with the InforEuro exchange rate of 11/2024</w:t>
      </w:r>
      <w:r>
        <w:rPr>
          <w:b/>
          <w:lang w:val="en-GB"/>
        </w:rPr>
        <w:t xml:space="preserve"> </w:t>
      </w:r>
      <w:r>
        <w:rPr>
          <w:lang w:val="en-GB"/>
        </w:rPr>
        <w:t xml:space="preserve">of the applicable InforEuro exchange rate, which can either correspond to the month and year of the publication of the present contract notice or the month and year corresponding to the deadline for submitting applications], which can be found at the following address: </w:t>
      </w:r>
      <w:hyperlink r:id="rId2">
        <w:r>
          <w:rPr>
            <w:rStyle w:val="InternetLink"/>
            <w:lang w:val="en-GB"/>
          </w:rPr>
          <w:t>http://ec.europa.eu/budget/graphs/inforeuro.html</w:t>
        </w:r>
      </w:hyperlink>
      <w:r>
        <w:rPr>
          <w:lang w:val="en-GB"/>
        </w:rPr>
        <w:t>.</w:t>
      </w:r>
    </w:p>
    <w:p>
      <w:pPr>
        <w:pStyle w:val="PRAGHeading2"/>
        <w:numPr>
          <w:ilvl w:val="0"/>
          <w:numId w:val="2"/>
        </w:numPr>
        <w:jc w:val="both"/>
        <w:rPr/>
      </w:pPr>
      <w:r>
        <w:rPr>
          <w:rStyle w:val="Strong"/>
          <w:sz w:val="22"/>
          <w:szCs w:val="22"/>
          <w:lang w:val="en-GB"/>
        </w:rPr>
        <w:t>Award criteria</w:t>
      </w:r>
    </w:p>
    <w:p>
      <w:pPr>
        <w:pStyle w:val="Normal"/>
        <w:ind w:left="426" w:hanging="0"/>
        <w:jc w:val="both"/>
        <w:rPr>
          <w:sz w:val="22"/>
          <w:lang w:val="en-GB"/>
        </w:rPr>
      </w:pPr>
      <w:r>
        <w:rPr>
          <w:sz w:val="22"/>
          <w:lang w:val="en-GB"/>
        </w:rPr>
        <w:t xml:space="preserve">The sole award criterion will be the price: the most economically advantageous tender is the technically compliant tender with the lowest price. </w:t>
      </w:r>
    </w:p>
    <w:p>
      <w:pPr>
        <w:pStyle w:val="Normal"/>
        <w:jc w:val="both"/>
        <w:rPr>
          <w:sz w:val="22"/>
          <w:szCs w:val="22"/>
          <w:lang w:val="en-GB"/>
        </w:rPr>
      </w:pPr>
      <w:r>
        <w:rPr>
          <w:sz w:val="22"/>
          <w:szCs w:val="22"/>
          <w:lang w:val="en-GB"/>
        </w:rPr>
        <mc:AlternateContent>
          <mc:Choice Requires="wps">
            <w:drawing>
              <wp:anchor behindDoc="0" distT="0" distB="0" distL="0" distR="0" simplePos="0" locked="0" layoutInCell="1" allowOverlap="1" relativeHeight="3">
                <wp:simplePos x="0" y="0"/>
                <wp:positionH relativeFrom="column">
                  <wp:posOffset>0</wp:posOffset>
                </wp:positionH>
                <wp:positionV relativeFrom="paragraph">
                  <wp:posOffset>154940</wp:posOffset>
                </wp:positionV>
                <wp:extent cx="2929255" cy="4445"/>
                <wp:effectExtent l="0" t="0" r="0" b="0"/>
                <wp:wrapNone/>
                <wp:docPr id="5" name="Straight Connector 5"/>
                <a:graphic xmlns:a="http://schemas.openxmlformats.org/drawingml/2006/main">
                  <a:graphicData uri="http://schemas.microsoft.com/office/word/2010/wordprocessingShape">
                    <wps:wsp>
                      <wps:cNvSpPr/>
                      <wps:spPr>
                        <a:xfrm>
                          <a:off x="0" y="0"/>
                          <a:ext cx="2928600" cy="1800"/>
                        </a:xfrm>
                        <a:prstGeom prst="line">
                          <a:avLst/>
                        </a:prstGeom>
                        <a:ln w="22320">
                          <a:solidFill>
                            <a:srgbClr val="d4d4d4"/>
                          </a:solidFill>
                          <a:round/>
                        </a:ln>
                      </wps:spPr>
                      <wps:style>
                        <a:lnRef idx="0"/>
                        <a:fillRef idx="0"/>
                        <a:effectRef idx="0"/>
                        <a:fontRef idx="minor"/>
                      </wps:style>
                      <wps:bodyPr/>
                    </wps:wsp>
                  </a:graphicData>
                </a:graphic>
              </wp:anchor>
            </w:drawing>
          </mc:Choice>
          <mc:Fallback>
            <w:pict>
              <v:line id="shape_0" from="0pt,12.2pt" to="230.55pt,12.3pt" ID="Straight Connector 5" stroked="t" style="position:absolute">
                <v:stroke color="#d4d4d4" weight="22320" joinstyle="round" endcap="flat"/>
                <v:fill o:detectmouseclick="t" on="false"/>
              </v:line>
            </w:pict>
          </mc:Fallback>
        </mc:AlternateContent>
      </w:r>
    </w:p>
    <w:p>
      <w:pPr>
        <w:pStyle w:val="Normal"/>
        <w:ind w:left="360" w:hanging="0"/>
        <w:jc w:val="both"/>
        <w:rPr>
          <w:rStyle w:val="Strong"/>
          <w:sz w:val="22"/>
          <w:szCs w:val="22"/>
          <w:lang w:val="en-GB"/>
        </w:rPr>
      </w:pPr>
      <w:r>
        <w:rPr>
          <w:rStyle w:val="Strong"/>
          <w:sz w:val="22"/>
          <w:szCs w:val="22"/>
          <w:lang w:val="en-GB"/>
        </w:rPr>
        <w:t>TENDERING</w:t>
      </w:r>
    </w:p>
    <w:p>
      <w:pPr>
        <w:pStyle w:val="PRAGHeading2"/>
        <w:numPr>
          <w:ilvl w:val="0"/>
          <w:numId w:val="2"/>
        </w:numPr>
        <w:jc w:val="both"/>
        <w:rPr>
          <w:rStyle w:val="Strong"/>
          <w:sz w:val="22"/>
          <w:szCs w:val="22"/>
          <w:lang w:val="en-GB"/>
        </w:rPr>
      </w:pPr>
      <w:r>
        <w:rPr>
          <w:rStyle w:val="Strong"/>
          <w:sz w:val="22"/>
          <w:szCs w:val="22"/>
          <w:lang w:val="en-GB"/>
        </w:rPr>
        <w:t xml:space="preserve">Ethics clauses </w:t>
      </w:r>
    </w:p>
    <w:p>
      <w:pPr>
        <w:pStyle w:val="PRAGHeading2"/>
        <w:ind w:left="720" w:hanging="0"/>
        <w:jc w:val="both"/>
        <w:rPr>
          <w:rStyle w:val="Strong"/>
          <w:b w:val="false"/>
          <w:b w:val="false"/>
          <w:sz w:val="22"/>
          <w:szCs w:val="22"/>
          <w:lang w:val="en-GB"/>
        </w:rPr>
      </w:pPr>
      <w:r>
        <w:rPr>
          <w:rStyle w:val="Strong"/>
          <w:b w:val="false"/>
          <w:sz w:val="22"/>
          <w:szCs w:val="22"/>
          <w:lang w:val="en-GB"/>
        </w:rPr>
        <w:t xml:space="preserve">The tenderers are subject to the ethics clauses, detailed in Section 2.5.6. of the practical guide. </w:t>
      </w:r>
    </w:p>
    <w:p>
      <w:pPr>
        <w:pStyle w:val="PRAGHeading2"/>
        <w:numPr>
          <w:ilvl w:val="0"/>
          <w:numId w:val="2"/>
        </w:numPr>
        <w:jc w:val="both"/>
        <w:rPr>
          <w:rStyle w:val="Strong"/>
          <w:sz w:val="22"/>
          <w:szCs w:val="22"/>
          <w:lang w:val="en-GB"/>
        </w:rPr>
      </w:pPr>
      <w:r>
        <w:rPr>
          <w:rStyle w:val="Strong"/>
          <w:sz w:val="22"/>
          <w:szCs w:val="22"/>
          <w:lang w:val="en-GB"/>
        </w:rPr>
        <w:t>Appeals</w:t>
      </w:r>
    </w:p>
    <w:p>
      <w:pPr>
        <w:pStyle w:val="Normal"/>
        <w:ind w:left="709" w:hanging="0"/>
        <w:jc w:val="both"/>
        <w:rPr>
          <w:sz w:val="22"/>
          <w:szCs w:val="22"/>
          <w:lang w:val="en-GB"/>
        </w:rPr>
      </w:pPr>
      <w:r>
        <w:rPr>
          <w:sz w:val="22"/>
          <w:szCs w:val="22"/>
          <w:lang w:val="en-GB" w:eastAsia="en-GB"/>
        </w:rPr>
        <w:t>Tenderers believing that they have been harmed by an error or irregularity during the award process may file a complaint. See further Section 2.12. of the practical guide.</w:t>
      </w:r>
    </w:p>
    <w:p>
      <w:pPr>
        <w:pStyle w:val="PRAGHeading2"/>
        <w:numPr>
          <w:ilvl w:val="0"/>
          <w:numId w:val="2"/>
        </w:numPr>
        <w:jc w:val="both"/>
        <w:rPr>
          <w:b/>
          <w:b/>
          <w:sz w:val="22"/>
          <w:szCs w:val="22"/>
          <w:lang w:val="en-GB"/>
        </w:rPr>
      </w:pPr>
      <w:r>
        <w:rPr>
          <w:b/>
          <w:sz w:val="22"/>
          <w:szCs w:val="22"/>
          <w:lang w:val="en-GB"/>
        </w:rPr>
        <w:t>Early detection and exclusion system</w:t>
      </w:r>
    </w:p>
    <w:p>
      <w:pPr>
        <w:pStyle w:val="Normal"/>
        <w:spacing w:before="100" w:after="100"/>
        <w:ind w:left="709" w:hanging="0"/>
        <w:jc w:val="both"/>
        <w:rPr/>
      </w:pPr>
      <w:r>
        <w:rPr>
          <w:sz w:val="22"/>
          <w:szCs w:val="22"/>
          <w:lang w:val="en-GB"/>
        </w:rPr>
        <w:t>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early detection and exclusion system (EDES)  and communicated to the persons and entities concerned in relation to the award or the execution of a procurement contract.</w:t>
      </w:r>
    </w:p>
    <w:sectPr>
      <w:headerReference w:type="default" r:id="rId3"/>
      <w:footerReference w:type="default" r:id="rId4"/>
      <w:type w:val="nextPage"/>
      <w:pgSz w:w="12240" w:h="15840"/>
      <w:pgMar w:left="1440" w:right="1440" w:header="851" w:top="1440" w:footer="618" w:bottom="1440" w:gutter="0"/>
      <w:pgNumType w:fmt="decimal"/>
      <w:formProt w:val="false"/>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Bold">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Courier New">
    <w:charset w:val="00"/>
    <w:family w:val="roman"/>
    <w:pitch w:val="variable"/>
  </w:font>
  <w:font w:name="Liberation Sans">
    <w:altName w:val="Arial"/>
    <w:charset w:val="00"/>
    <w:family w:val="roman"/>
    <w:pitch w:val="variable"/>
  </w:font>
  <w:font w:name="Tahom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536"/>
        <w:tab w:val="clear" w:pos="9072"/>
        <w:tab w:val="right" w:pos="9356" w:leader="none"/>
      </w:tabs>
      <w:spacing w:before="0" w:after="0"/>
      <w:rPr/>
    </w:pPr>
    <w:r>
      <w:rPr>
        <w:b/>
        <w:sz w:val="18"/>
        <w:lang w:val="en-IE"/>
      </w:rPr>
      <w:t>2021.1</w:t>
    </w:r>
    <w:r>
      <w:rPr>
        <w:sz w:val="18"/>
        <w:szCs w:val="18"/>
        <w:lang w:val="en-GB"/>
      </w:rPr>
      <w:tab/>
      <w:t xml:space="preserve">Page </w:t>
    </w:r>
    <w:r>
      <w:rPr>
        <w:rStyle w:val="Pagenumber"/>
        <w:sz w:val="18"/>
        <w:szCs w:val="18"/>
      </w:rPr>
      <w:fldChar w:fldCharType="begin"/>
    </w:r>
    <w:r>
      <w:rPr>
        <w:rStyle w:val="Pagenumber"/>
        <w:sz w:val="18"/>
        <w:szCs w:val="18"/>
      </w:rPr>
      <w:instrText> PAGE </w:instrText>
    </w:r>
    <w:r>
      <w:rPr>
        <w:rStyle w:val="Pagenumber"/>
        <w:sz w:val="18"/>
        <w:szCs w:val="18"/>
      </w:rPr>
      <w:fldChar w:fldCharType="separate"/>
    </w:r>
    <w:r>
      <w:rPr>
        <w:rStyle w:val="Pagenumber"/>
        <w:sz w:val="18"/>
        <w:szCs w:val="18"/>
      </w:rPr>
      <w:t>3</w:t>
    </w:r>
    <w:r>
      <w:rPr>
        <w:rStyle w:val="Pagenumber"/>
        <w:sz w:val="18"/>
        <w:szCs w:val="18"/>
      </w:rPr>
      <w:fldChar w:fldCharType="end"/>
    </w:r>
    <w:r>
      <w:rPr>
        <w:rStyle w:val="Pagenumber"/>
        <w:sz w:val="18"/>
        <w:szCs w:val="18"/>
        <w:lang w:val="en-GB"/>
      </w:rPr>
      <w:t xml:space="preserve"> of </w:t>
    </w:r>
    <w:r>
      <w:rPr>
        <w:rStyle w:val="Pagenumber"/>
        <w:sz w:val="18"/>
        <w:szCs w:val="18"/>
      </w:rPr>
      <w:fldChar w:fldCharType="begin"/>
    </w:r>
    <w:r>
      <w:rPr>
        <w:rStyle w:val="Pagenumber"/>
        <w:sz w:val="18"/>
        <w:szCs w:val="18"/>
      </w:rPr>
      <w:instrText> NUMPAGES </w:instrText>
    </w:r>
    <w:r>
      <w:rPr>
        <w:rStyle w:val="Pagenumber"/>
        <w:sz w:val="18"/>
        <w:szCs w:val="18"/>
      </w:rPr>
      <w:fldChar w:fldCharType="separate"/>
    </w:r>
    <w:r>
      <w:rPr>
        <w:rStyle w:val="Pagenumber"/>
        <w:sz w:val="18"/>
        <w:szCs w:val="18"/>
      </w:rPr>
      <w:t>3</w:t>
    </w:r>
    <w:r>
      <w:rPr>
        <w:rStyle w:val="Pagenumber"/>
        <w:sz w:val="18"/>
        <w:szCs w:val="18"/>
      </w:rPr>
      <w:fldChar w:fldCharType="end"/>
    </w:r>
  </w:p>
  <w:p>
    <w:pPr>
      <w:pStyle w:val="Footer"/>
      <w:tabs>
        <w:tab w:val="clear" w:pos="4536"/>
        <w:tab w:val="clear" w:pos="9072"/>
        <w:tab w:val="right" w:pos="9356" w:leader="none"/>
      </w:tabs>
      <w:spacing w:before="0" w:after="0"/>
      <w:rPr/>
    </w:pPr>
    <w:r>
      <w:rPr>
        <w:sz w:val="18"/>
        <w:szCs w:val="18"/>
      </w:rPr>
      <w:fldChar w:fldCharType="begin"/>
    </w:r>
    <w:r>
      <w:rPr>
        <w:sz w:val="18"/>
        <w:szCs w:val="18"/>
      </w:rPr>
      <w:instrText> FILENAME </w:instrText>
    </w:r>
    <w:r>
      <w:rPr>
        <w:sz w:val="18"/>
        <w:szCs w:val="18"/>
      </w:rPr>
      <w:fldChar w:fldCharType="separate"/>
    </w:r>
    <w:r>
      <w:rPr>
        <w:sz w:val="18"/>
        <w:szCs w:val="18"/>
      </w:rPr>
      <w:t>ds2_contractnotice_simpl_neg_en.docx</w:t>
    </w:r>
    <w:r>
      <w:rPr>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tabs>
        <w:tab w:val="center" w:pos="4536" w:leader="none"/>
        <w:tab w:val="right" w:pos="9072" w:leader="none"/>
      </w:tabs>
      <w:spacing w:before="100" w:after="10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1"/>
      <w:numFmt w:val="none"/>
      <w:suff w:val="nothing"/>
      <w:lvlText w:val=""/>
      <w:lvlJc w:val="left"/>
      <w:pPr>
        <w:ind w:left="0" w:hanging="0"/>
      </w:pPr>
      <w:rPr>
        <w:smallCaps w:val="false"/>
        <w:caps w:val="false"/>
        <w:outline w:val="false"/>
        <w:dstrike w:val="false"/>
        <w:strike w:val="false"/>
        <w:vertAlign w:val="baseline"/>
        <w:position w:val="0"/>
        <w:sz w:val="32"/>
        <w:sz w:val="32"/>
        <w:i w:val="false"/>
        <w:shadow w:val="false"/>
        <w:b/>
        <w:emboss w:val="false"/>
        <w:imprint w:val="false"/>
        <w:vanish w:val="false"/>
      </w:rPr>
    </w:lvl>
    <w:lvl w:ilvl="1">
      <w:start w:val="1"/>
      <w:pStyle w:val="Heading2"/>
      <w:numFmt w:val="decimal"/>
      <w:lvlText w:val="%2."/>
      <w:lvlJc w:val="left"/>
      <w:pPr>
        <w:ind w:left="576" w:hanging="576"/>
      </w:pPr>
      <w:rPr>
        <w:smallCaps w:val="false"/>
        <w:caps w:val="false"/>
        <w:outline w:val="false"/>
        <w:dstrike w:val="false"/>
        <w:strike w:val="false"/>
        <w:vertAlign w:val="baseline"/>
        <w:position w:val="0"/>
        <w:sz w:val="22"/>
        <w:sz w:val="22"/>
        <w:i w:val="false"/>
        <w:shadow w:val="false"/>
        <w:b/>
        <w:emboss w:val="false"/>
        <w:imprint w:val="false"/>
        <w:vanish w:val="false"/>
      </w:rPr>
    </w:lvl>
    <w:lvl w:ilvl="2">
      <w:start w:val="1"/>
      <w:pStyle w:val="Heading3"/>
      <w:numFmt w:val="decimal"/>
      <w:lvlText w:val="%2.%3."/>
      <w:lvlJc w:val="left"/>
      <w:pPr>
        <w:ind w:left="720" w:hanging="720"/>
      </w:pPr>
      <w:rPr>
        <w:i w:val="false"/>
        <w:b w:val="false"/>
      </w:rPr>
    </w:lvl>
    <w:lvl w:ilvl="3">
      <w:start w:val="1"/>
      <w:pStyle w:val="Heading4"/>
      <w:numFmt w:val="decimal"/>
      <w:lvlText w:val="%2.%3.%4."/>
      <w:lvlJc w:val="left"/>
      <w:pPr>
        <w:tabs>
          <w:tab w:val="num" w:pos="1418"/>
        </w:tabs>
        <w:ind w:left="1418" w:hanging="851"/>
      </w:pPr>
    </w:lvl>
    <w:lvl w:ilvl="4">
      <w:start w:val="1"/>
      <w:pStyle w:val="Heading5"/>
      <w:numFmt w:val="decimal"/>
      <w:lvlText w:val="%2.%3.%4.%5"/>
      <w:lvlJc w:val="left"/>
      <w:pPr>
        <w:ind w:left="1008" w:hanging="1008"/>
      </w:pPr>
    </w:lvl>
    <w:lvl w:ilvl="5">
      <w:start w:val="1"/>
      <w:pStyle w:val="Heading6"/>
      <w:numFmt w:val="decimal"/>
      <w:lvlText w:val="%2.%3.%4.%5.%6"/>
      <w:lvlJc w:val="left"/>
      <w:pPr>
        <w:ind w:left="1152" w:hanging="1152"/>
      </w:pPr>
    </w:lvl>
    <w:lvl w:ilvl="6">
      <w:start w:val="1"/>
      <w:pStyle w:val="Heading7"/>
      <w:numFmt w:val="decimal"/>
      <w:lvlText w:val="%2.%3.%4.%5.%6.%7"/>
      <w:lvlJc w:val="left"/>
      <w:pPr>
        <w:ind w:left="1296" w:hanging="1296"/>
      </w:pPr>
    </w:lvl>
    <w:lvl w:ilvl="7">
      <w:start w:val="1"/>
      <w:pStyle w:val="Heading8"/>
      <w:numFmt w:val="decimal"/>
      <w:lvlText w:val="%2.%3.%4.%5.%6.%7.%8"/>
      <w:lvlJc w:val="left"/>
      <w:pPr>
        <w:ind w:left="1440" w:hanging="1440"/>
      </w:pPr>
    </w:lvl>
    <w:lvl w:ilvl="8">
      <w:start w:val="1"/>
      <w:pStyle w:val="Heading9"/>
      <w:numFmt w:val="decimal"/>
      <w:lvlText w:val="%2.%3.%4.%5.%6.%7.%8.%9"/>
      <w:lvlJc w:val="left"/>
      <w:pPr>
        <w:ind w:left="1584" w:hanging="1584"/>
      </w:pPr>
    </w:lvl>
  </w:abstractNum>
  <w:abstractNum w:abstractNumId="2">
    <w:lvl w:ilvl="0">
      <w:start w:val="1"/>
      <w:numFmt w:val="decimal"/>
      <w:lvlText w:val="%1."/>
      <w:lvlJc w:val="left"/>
      <w:pPr>
        <w:tabs>
          <w:tab w:val="num" w:pos="284"/>
        </w:tabs>
        <w:ind w:left="284" w:hanging="0"/>
      </w:pPr>
      <w:rPr>
        <w:sz w:val="22"/>
        <w:i w:val="false"/>
        <w:b/>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
  </w:num>
  <w:num w:numId="2">
    <w:abstractNumId w:val="2"/>
  </w:num>
</w:numbering>
</file>

<file path=word/settings.xml><?xml version="1.0" encoding="utf-8"?>
<w:settings xmlns:w="http://schemas.openxmlformats.org/wordprocessingml/2006/main">
  <w:zoom w:percent="100"/>
  <w:embedSystemFonts/>
  <w:defaultTabStop w:val="720"/>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qFormat="1"/>
    <w:lsdException w:name="annotation reference" w:uiPriority="99"/>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21394"/>
    <w:pPr>
      <w:widowControl w:val="false"/>
      <w:bidi w:val="0"/>
      <w:spacing w:before="100" w:after="100"/>
      <w:jc w:val="left"/>
    </w:pPr>
    <w:rPr>
      <w:rFonts w:ascii="Times New Roman" w:hAnsi="Times New Roman" w:eastAsia="Times New Roman" w:cs="Times New Roman"/>
      <w:color w:val="auto"/>
      <w:kern w:val="0"/>
      <w:sz w:val="24"/>
      <w:szCs w:val="20"/>
      <w:lang w:val="fr-FR" w:eastAsia="en-US" w:bidi="ar-SA"/>
    </w:rPr>
  </w:style>
  <w:style w:type="paragraph" w:styleId="Heading1">
    <w:name w:val="Heading 1"/>
    <w:basedOn w:val="Normal"/>
    <w:next w:val="Normal"/>
    <w:link w:val="Heading1Char"/>
    <w:autoRedefine/>
    <w:qFormat/>
    <w:rsid w:val="002b0469"/>
    <w:pPr>
      <w:keepNext w:val="true"/>
      <w:widowControl/>
      <w:numPr>
        <w:ilvl w:val="0"/>
        <w:numId w:val="1"/>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1"/>
      </w:numPr>
      <w:spacing w:before="240" w:after="120"/>
      <w:jc w:val="both"/>
      <w:outlineLvl w:val="1"/>
    </w:pPr>
    <w:rPr>
      <w:rFonts w:ascii="Times New Roman Bold" w:hAnsi="Times New Roman Bold"/>
      <w:b/>
      <w:sz w:val="22"/>
      <w:szCs w:val="22"/>
    </w:rPr>
  </w:style>
  <w:style w:type="paragraph" w:styleId="Heading3">
    <w:name w:val="Heading 3"/>
    <w:basedOn w:val="Normal"/>
    <w:next w:val="Normal"/>
    <w:link w:val="Heading3Char"/>
    <w:qFormat/>
    <w:rsid w:val="002b0469"/>
    <w:pPr>
      <w:widowControl/>
      <w:numPr>
        <w:ilvl w:val="2"/>
        <w:numId w:val="1"/>
      </w:numPr>
      <w:spacing w:before="240" w:after="120"/>
      <w:jc w:val="both"/>
      <w:outlineLvl w:val="2"/>
    </w:pPr>
    <w:rPr>
      <w:sz w:val="22"/>
      <w:szCs w:val="22"/>
    </w:rPr>
  </w:style>
  <w:style w:type="paragraph" w:styleId="Heading4">
    <w:name w:val="Heading 4"/>
    <w:basedOn w:val="Normal"/>
    <w:next w:val="Normal"/>
    <w:link w:val="Heading4Char"/>
    <w:autoRedefine/>
    <w:qFormat/>
    <w:rsid w:val="002b0469"/>
    <w:pPr>
      <w:widowControl/>
      <w:numPr>
        <w:ilvl w:val="3"/>
        <w:numId w:val="1"/>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1"/>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1"/>
      </w:numPr>
      <w:spacing w:before="240" w:after="60"/>
      <w:outlineLvl w:val="5"/>
    </w:pPr>
    <w:rPr>
      <w:rFonts w:ascii="Calibri" w:hAnsi="Calibri"/>
      <w:b/>
      <w:bCs/>
      <w:sz w:val="22"/>
      <w:szCs w:val="22"/>
    </w:rPr>
  </w:style>
  <w:style w:type="paragraph" w:styleId="Heading7">
    <w:name w:val="Heading 7"/>
    <w:basedOn w:val="Normal"/>
    <w:next w:val="Normal"/>
    <w:link w:val="Heading7Char"/>
    <w:qFormat/>
    <w:rsid w:val="002b0469"/>
    <w:pPr>
      <w:keepNext w:val="true"/>
      <w:widowControl/>
      <w:numPr>
        <w:ilvl w:val="6"/>
        <w:numId w:val="1"/>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val="true"/>
      <w:widowControl/>
      <w:numPr>
        <w:ilvl w:val="7"/>
        <w:numId w:val="1"/>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1"/>
      </w:numPr>
      <w:spacing w:before="240" w:after="60"/>
      <w:outlineLvl w:val="8"/>
    </w:pPr>
    <w:rPr>
      <w:rFonts w:ascii="Cambria" w:hAnsi="Cambria"/>
      <w:sz w:val="22"/>
      <w:szCs w:val="22"/>
    </w:rPr>
  </w:style>
  <w:style w:type="character" w:styleId="DefaultParagraphFont" w:default="1">
    <w:name w:val="Default Paragraph Font"/>
    <w:uiPriority w:val="1"/>
    <w:semiHidden/>
    <w:unhideWhenUsed/>
    <w:qFormat/>
    <w:rPr/>
  </w:style>
  <w:style w:type="character" w:styleId="Definition" w:customStyle="1">
    <w:name w:val="Definition"/>
    <w:qFormat/>
    <w:rsid w:val="00e92534"/>
    <w:rPr>
      <w:i/>
    </w:rPr>
  </w:style>
  <w:style w:type="character" w:styleId="CITE" w:customStyle="1">
    <w:name w:val="CITE"/>
    <w:qFormat/>
    <w:rsid w:val="00e92534"/>
    <w:rPr>
      <w:i/>
    </w:rPr>
  </w:style>
  <w:style w:type="character" w:styleId="CODE" w:customStyle="1">
    <w:name w:val="CODE"/>
    <w:qFormat/>
    <w:rsid w:val="00e92534"/>
    <w:rPr>
      <w:rFonts w:ascii="Courier New" w:hAnsi="Courier New"/>
      <w:sz w:val="20"/>
    </w:rPr>
  </w:style>
  <w:style w:type="character" w:styleId="Emphasis">
    <w:name w:val="Emphasis"/>
    <w:uiPriority w:val="20"/>
    <w:qFormat/>
    <w:rsid w:val="00e92534"/>
    <w:rPr>
      <w:i/>
    </w:rPr>
  </w:style>
  <w:style w:type="character" w:styleId="InternetLink" w:customStyle="1">
    <w:name w:val="Internet Link"/>
    <w:rsid w:val="00e92534"/>
    <w:rPr>
      <w:color w:val="0000FF"/>
      <w:u w:val="single"/>
    </w:rPr>
  </w:style>
  <w:style w:type="character" w:styleId="FollowedHyperlink">
    <w:name w:val="FollowedHyperlink"/>
    <w:qFormat/>
    <w:rsid w:val="00e92534"/>
    <w:rPr>
      <w:color w:val="800080"/>
      <w:u w:val="single"/>
    </w:rPr>
  </w:style>
  <w:style w:type="character" w:styleId="Keyboard" w:customStyle="1">
    <w:name w:val="Keyboard"/>
    <w:qFormat/>
    <w:rsid w:val="00e92534"/>
    <w:rPr>
      <w:rFonts w:ascii="Courier New" w:hAnsi="Courier New"/>
      <w:b/>
      <w:sz w:val="20"/>
    </w:rPr>
  </w:style>
  <w:style w:type="character" w:styleId="Sample" w:customStyle="1">
    <w:name w:val="Sample"/>
    <w:qFormat/>
    <w:rsid w:val="00e92534"/>
    <w:rPr>
      <w:rFonts w:ascii="Courier New" w:hAnsi="Courier New"/>
    </w:rPr>
  </w:style>
  <w:style w:type="character" w:styleId="Strong">
    <w:name w:val="Strong"/>
    <w:qFormat/>
    <w:rsid w:val="00e92534"/>
    <w:rPr>
      <w:b/>
    </w:rPr>
  </w:style>
  <w:style w:type="character" w:styleId="Typewriter" w:customStyle="1">
    <w:name w:val="Typewriter"/>
    <w:qFormat/>
    <w:rsid w:val="00e92534"/>
    <w:rPr>
      <w:rFonts w:ascii="Courier New" w:hAnsi="Courier New"/>
      <w:sz w:val="20"/>
    </w:rPr>
  </w:style>
  <w:style w:type="character" w:styleId="Variable" w:customStyle="1">
    <w:name w:val="Variable"/>
    <w:qFormat/>
    <w:rsid w:val="00e92534"/>
    <w:rPr>
      <w:i/>
    </w:rPr>
  </w:style>
  <w:style w:type="character" w:styleId="HTMLMarkup" w:customStyle="1">
    <w:name w:val="HTML Markup"/>
    <w:qFormat/>
    <w:rsid w:val="00e92534"/>
    <w:rPr>
      <w:vanish/>
      <w:color w:val="FF0000"/>
    </w:rPr>
  </w:style>
  <w:style w:type="character" w:styleId="Comment" w:customStyle="1">
    <w:name w:val="Comment"/>
    <w:qFormat/>
    <w:rsid w:val="00e92534"/>
    <w:rPr>
      <w:vanish/>
    </w:rPr>
  </w:style>
  <w:style w:type="character" w:styleId="Pagenumber">
    <w:name w:val="page number"/>
    <w:basedOn w:val="DefaultParagraphFont"/>
    <w:qFormat/>
    <w:rsid w:val="00805efa"/>
    <w:rPr/>
  </w:style>
  <w:style w:type="character" w:styleId="Annotationreference">
    <w:name w:val="annotation reference"/>
    <w:uiPriority w:val="99"/>
    <w:qFormat/>
    <w:rsid w:val="00bd3b9d"/>
    <w:rPr>
      <w:sz w:val="16"/>
      <w:szCs w:val="16"/>
    </w:rPr>
  </w:style>
  <w:style w:type="character" w:styleId="FootnoteTextChar" w:customStyle="1">
    <w:name w:val="Footnote Text Char"/>
    <w:link w:val="FootnoteText"/>
    <w:uiPriority w:val="99"/>
    <w:qFormat/>
    <w:rsid w:val="00921394"/>
    <w:rPr>
      <w:lang w:val="fr-FR" w:eastAsia="en-US"/>
    </w:rPr>
  </w:style>
  <w:style w:type="character" w:styleId="FootnoteCharacters" w:customStyle="1">
    <w:name w:val="Footnote Characters"/>
    <w:uiPriority w:val="99"/>
    <w:qFormat/>
    <w:rsid w:val="00a95184"/>
    <w:rPr>
      <w:vertAlign w:val="superscript"/>
    </w:rPr>
  </w:style>
  <w:style w:type="character" w:styleId="FootnoteAnchor" w:customStyle="1">
    <w:name w:val="Footnote Anchor"/>
    <w:rPr>
      <w:vertAlign w:val="superscript"/>
    </w:rPr>
  </w:style>
  <w:style w:type="character" w:styleId="Heading1Char" w:customStyle="1">
    <w:name w:val="Heading 1 Char"/>
    <w:link w:val="Heading1"/>
    <w:qFormat/>
    <w:rsid w:val="002b0469"/>
    <w:rPr>
      <w:b/>
      <w:bCs/>
      <w:caps/>
      <w:sz w:val="30"/>
      <w:szCs w:val="22"/>
      <w:lang w:eastAsia="en-US"/>
    </w:rPr>
  </w:style>
  <w:style w:type="character" w:styleId="Heading2Char" w:customStyle="1">
    <w:name w:val="Heading 2 Char"/>
    <w:link w:val="Heading2"/>
    <w:qFormat/>
    <w:rsid w:val="002b0469"/>
    <w:rPr>
      <w:rFonts w:ascii="Times New Roman Bold" w:hAnsi="Times New Roman Bold"/>
      <w:b/>
      <w:sz w:val="22"/>
      <w:szCs w:val="22"/>
      <w:lang w:eastAsia="en-US"/>
    </w:rPr>
  </w:style>
  <w:style w:type="character" w:styleId="Heading3Char" w:customStyle="1">
    <w:name w:val="Heading 3 Char"/>
    <w:link w:val="Heading3"/>
    <w:qFormat/>
    <w:rsid w:val="002b0469"/>
    <w:rPr>
      <w:sz w:val="22"/>
      <w:szCs w:val="22"/>
      <w:lang w:eastAsia="en-US"/>
    </w:rPr>
  </w:style>
  <w:style w:type="character" w:styleId="Heading4Char" w:customStyle="1">
    <w:name w:val="Heading 4 Char"/>
    <w:link w:val="Heading4"/>
    <w:qFormat/>
    <w:rsid w:val="002b0469"/>
    <w:rPr>
      <w:sz w:val="22"/>
      <w:szCs w:val="22"/>
      <w:lang w:eastAsia="en-US"/>
    </w:rPr>
  </w:style>
  <w:style w:type="character" w:styleId="Heading5Char" w:customStyle="1">
    <w:name w:val="Heading 5 Char"/>
    <w:link w:val="Heading5"/>
    <w:qFormat/>
    <w:rsid w:val="002b0469"/>
    <w:rPr>
      <w:sz w:val="22"/>
      <w:szCs w:val="22"/>
      <w:lang w:eastAsia="en-US"/>
    </w:rPr>
  </w:style>
  <w:style w:type="character" w:styleId="Heading6Char" w:customStyle="1">
    <w:name w:val="Heading 6 Char"/>
    <w:link w:val="Heading6"/>
    <w:qFormat/>
    <w:rsid w:val="002b0469"/>
    <w:rPr>
      <w:rFonts w:ascii="Calibri" w:hAnsi="Calibri"/>
      <w:b/>
      <w:bCs/>
      <w:sz w:val="22"/>
      <w:szCs w:val="22"/>
      <w:lang w:eastAsia="en-US"/>
    </w:rPr>
  </w:style>
  <w:style w:type="character" w:styleId="Heading7Char" w:customStyle="1">
    <w:name w:val="Heading 7 Char"/>
    <w:link w:val="Heading7"/>
    <w:qFormat/>
    <w:rsid w:val="002b0469"/>
    <w:rPr>
      <w:rFonts w:ascii="Arial" w:hAnsi="Arial"/>
      <w:b/>
      <w:color w:val="008000"/>
      <w:sz w:val="32"/>
      <w:lang w:eastAsia="en-US"/>
    </w:rPr>
  </w:style>
  <w:style w:type="character" w:styleId="Heading8Char" w:customStyle="1">
    <w:name w:val="Heading 8 Char"/>
    <w:link w:val="Heading8"/>
    <w:qFormat/>
    <w:rsid w:val="002b0469"/>
    <w:rPr>
      <w:rFonts w:ascii="Arial" w:hAnsi="Arial"/>
      <w:b/>
      <w:sz w:val="22"/>
      <w:lang w:eastAsia="en-US"/>
    </w:rPr>
  </w:style>
  <w:style w:type="character" w:styleId="Heading9Char" w:customStyle="1">
    <w:name w:val="Heading 9 Char"/>
    <w:link w:val="Heading9"/>
    <w:qFormat/>
    <w:rsid w:val="002b0469"/>
    <w:rPr>
      <w:rFonts w:ascii="Cambria" w:hAnsi="Cambria"/>
      <w:sz w:val="22"/>
      <w:szCs w:val="22"/>
      <w:lang w:eastAsia="en-US"/>
    </w:rPr>
  </w:style>
  <w:style w:type="character" w:styleId="Normaltextrun" w:customStyle="1">
    <w:name w:val="normaltextrun"/>
    <w:qFormat/>
    <w:rsid w:val="000252ff"/>
    <w:rPr/>
  </w:style>
  <w:style w:type="character" w:styleId="Eop" w:customStyle="1">
    <w:name w:val="eop"/>
    <w:qFormat/>
    <w:rsid w:val="000252ff"/>
    <w:rPr/>
  </w:style>
  <w:style w:type="character" w:styleId="Highlight" w:customStyle="1">
    <w:name w:val="highlight"/>
    <w:qFormat/>
    <w:rsid w:val="00770c21"/>
    <w:rPr>
      <w:rFonts w:ascii="Times New Roman" w:hAnsi="Times New Roman" w:cs="Times New Roman"/>
    </w:rPr>
  </w:style>
  <w:style w:type="character" w:styleId="ListLabel1" w:customStyle="1">
    <w:name w:val="ListLabel 1"/>
    <w:qFormat/>
    <w:rPr>
      <w:b/>
      <w:i w:val="false"/>
      <w:sz w:val="22"/>
      <w:szCs w:val="22"/>
    </w:rPr>
  </w:style>
  <w:style w:type="character" w:styleId="ListLabel2" w:customStyle="1">
    <w:name w:val="ListLabel 2"/>
    <w:qFormat/>
    <w:rPr>
      <w:b/>
      <w:i w:val="false"/>
      <w:sz w:val="22"/>
      <w:szCs w:val="22"/>
    </w:rPr>
  </w:style>
  <w:style w:type="character" w:styleId="ListLabel3" w:customStyle="1">
    <w:name w:val="ListLabel 3"/>
    <w:qFormat/>
    <w:rPr>
      <w:b/>
      <w:i w:val="false"/>
      <w:sz w:val="22"/>
      <w:szCs w:val="22"/>
    </w:rPr>
  </w:style>
  <w:style w:type="character" w:styleId="ListLabel4" w:customStyle="1">
    <w:name w:val="ListLabel 4"/>
    <w:qFormat/>
    <w:rPr>
      <w:b/>
      <w:i w:val="false"/>
      <w:sz w:val="22"/>
      <w:szCs w:val="22"/>
    </w:rPr>
  </w:style>
  <w:style w:type="character" w:styleId="ListLabel5" w:customStyle="1">
    <w:name w:val="ListLabel 5"/>
    <w:qFormat/>
    <w:rPr>
      <w:b/>
      <w:i w:val="false"/>
      <w:sz w:val="22"/>
      <w:szCs w:val="22"/>
    </w:rPr>
  </w:style>
  <w:style w:type="character" w:styleId="ListLabel6" w:customStyle="1">
    <w:name w:val="ListLabel 6"/>
    <w:qFormat/>
    <w:rPr>
      <w:b/>
      <w:i w:val="false"/>
      <w:sz w:val="22"/>
      <w:szCs w:val="22"/>
    </w:rPr>
  </w:style>
  <w:style w:type="character" w:styleId="ListLabel7" w:customStyle="1">
    <w:name w:val="ListLabel 7"/>
    <w:qFormat/>
    <w:rPr>
      <w:b/>
      <w:i w:val="false"/>
      <w:sz w:val="22"/>
      <w:szCs w:val="22"/>
    </w:rPr>
  </w:style>
  <w:style w:type="character" w:styleId="ListLabel8" w:customStyle="1">
    <w:name w:val="ListLabel 8"/>
    <w:qFormat/>
    <w:rPr>
      <w:rFonts w:cs="Wingdings"/>
    </w:rPr>
  </w:style>
  <w:style w:type="character" w:styleId="ListLabel9" w:customStyle="1">
    <w:name w:val="ListLabel 9"/>
    <w:qFormat/>
    <w:rPr>
      <w:rFonts w:cs="Wingdings"/>
    </w:rPr>
  </w:style>
  <w:style w:type="character" w:styleId="ListLabel10" w:customStyle="1">
    <w:name w:val="ListLabel 10"/>
    <w:qFormat/>
    <w:rPr>
      <w:rFonts w:cs="Wingdings"/>
    </w:rPr>
  </w:style>
  <w:style w:type="character" w:styleId="ListLabel11" w:customStyle="1">
    <w:name w:val="ListLabel 11"/>
    <w:qFormat/>
    <w:rPr>
      <w:rFonts w:cs="Wingdings"/>
    </w:rPr>
  </w:style>
  <w:style w:type="character" w:styleId="ListLabel12" w:customStyle="1">
    <w:name w:val="ListLabel 12"/>
    <w:qFormat/>
    <w:rPr>
      <w:rFonts w:cs="Wingdings"/>
    </w:rPr>
  </w:style>
  <w:style w:type="character" w:styleId="ListLabel13" w:customStyle="1">
    <w:name w:val="ListLabel 13"/>
    <w:qFormat/>
    <w:rPr>
      <w:rFonts w:cs="Wingdings"/>
    </w:rPr>
  </w:style>
  <w:style w:type="character" w:styleId="ListLabel14" w:customStyle="1">
    <w:name w:val="ListLabel 14"/>
    <w:qFormat/>
    <w:rPr>
      <w:b/>
      <w:i w:val="false"/>
      <w:caps w:val="false"/>
      <w:smallCaps w:val="false"/>
      <w:strike w:val="false"/>
      <w:dstrike w:val="false"/>
      <w:outline w:val="false"/>
      <w:shadow w:val="false"/>
      <w:emboss w:val="false"/>
      <w:imprint w:val="false"/>
      <w:vanish w:val="false"/>
      <w:position w:val="0"/>
      <w:sz w:val="32"/>
      <w:sz w:val="32"/>
      <w:vertAlign w:val="baseline"/>
    </w:rPr>
  </w:style>
  <w:style w:type="character" w:styleId="ListLabel15" w:customStyle="1">
    <w:name w:val="ListLabel 15"/>
    <w:qFormat/>
    <w:rPr>
      <w:b/>
      <w:i w:val="false"/>
      <w:caps w:val="false"/>
      <w:smallCaps w:val="false"/>
      <w:strike w:val="false"/>
      <w:dstrike w:val="false"/>
      <w:outline w:val="false"/>
      <w:shadow w:val="false"/>
      <w:emboss w:val="false"/>
      <w:imprint w:val="false"/>
      <w:vanish w:val="false"/>
      <w:position w:val="0"/>
      <w:sz w:val="22"/>
      <w:sz w:val="22"/>
      <w:vertAlign w:val="baseline"/>
    </w:rPr>
  </w:style>
  <w:style w:type="character" w:styleId="ListLabel16" w:customStyle="1">
    <w:name w:val="ListLabel 16"/>
    <w:qFormat/>
    <w:rPr>
      <w:b w:val="false"/>
      <w:i w:val="false"/>
    </w:rPr>
  </w:style>
  <w:style w:type="character" w:styleId="ListLabel17" w:customStyle="1">
    <w:name w:val="ListLabel 17"/>
    <w:qFormat/>
    <w:rPr>
      <w:lang w:val="en-GB"/>
    </w:rPr>
  </w:style>
  <w:style w:type="character" w:styleId="ListLabel18">
    <w:name w:val="ListLabel 18"/>
    <w:qFormat/>
    <w:rPr>
      <w:b/>
      <w:i w:val="false"/>
      <w:caps w:val="false"/>
      <w:smallCaps w:val="false"/>
      <w:strike w:val="false"/>
      <w:dstrike w:val="false"/>
      <w:outline w:val="false"/>
      <w:shadow w:val="false"/>
      <w:emboss w:val="false"/>
      <w:imprint w:val="false"/>
      <w:vanish w:val="false"/>
      <w:position w:val="0"/>
      <w:sz w:val="32"/>
      <w:sz w:val="32"/>
      <w:vertAlign w:val="baseline"/>
    </w:rPr>
  </w:style>
  <w:style w:type="character" w:styleId="ListLabel19">
    <w:name w:val="ListLabel 19"/>
    <w:qFormat/>
    <w:rPr>
      <w:b/>
      <w:i w:val="false"/>
      <w:caps w:val="false"/>
      <w:smallCaps w:val="false"/>
      <w:strike w:val="false"/>
      <w:dstrike w:val="false"/>
      <w:outline w:val="false"/>
      <w:shadow w:val="false"/>
      <w:emboss w:val="false"/>
      <w:imprint w:val="false"/>
      <w:vanish w:val="false"/>
      <w:position w:val="0"/>
      <w:sz w:val="22"/>
      <w:sz w:val="22"/>
      <w:vertAlign w:val="baseline"/>
    </w:rPr>
  </w:style>
  <w:style w:type="character" w:styleId="ListLabel20">
    <w:name w:val="ListLabel 20"/>
    <w:qFormat/>
    <w:rPr>
      <w:b w:val="false"/>
      <w:i w:val="false"/>
    </w:rPr>
  </w:style>
  <w:style w:type="character" w:styleId="ListLabel21">
    <w:name w:val="ListLabel 21"/>
    <w:qFormat/>
    <w:rPr>
      <w:b/>
      <w:i w:val="false"/>
      <w:sz w:val="22"/>
      <w:szCs w:val="22"/>
    </w:rPr>
  </w:style>
  <w:style w:type="character" w:styleId="ListLabel22">
    <w:name w:val="ListLabel 22"/>
    <w:qFormat/>
    <w:rPr>
      <w:lang w:val="en-GB"/>
    </w:rPr>
  </w:style>
  <w:style w:type="character" w:styleId="ListLabel23">
    <w:name w:val="ListLabel 23"/>
    <w:qFormat/>
    <w:rPr>
      <w:b/>
      <w:i w:val="false"/>
      <w:caps w:val="false"/>
      <w:smallCaps w:val="false"/>
      <w:strike w:val="false"/>
      <w:dstrike w:val="false"/>
      <w:outline w:val="false"/>
      <w:shadow w:val="false"/>
      <w:emboss w:val="false"/>
      <w:imprint w:val="false"/>
      <w:vanish w:val="false"/>
      <w:position w:val="0"/>
      <w:sz w:val="32"/>
      <w:sz w:val="32"/>
      <w:vertAlign w:val="baseline"/>
    </w:rPr>
  </w:style>
  <w:style w:type="character" w:styleId="ListLabel24">
    <w:name w:val="ListLabel 24"/>
    <w:qFormat/>
    <w:rPr>
      <w:b/>
      <w:i w:val="false"/>
      <w:caps w:val="false"/>
      <w:smallCaps w:val="false"/>
      <w:strike w:val="false"/>
      <w:dstrike w:val="false"/>
      <w:outline w:val="false"/>
      <w:shadow w:val="false"/>
      <w:emboss w:val="false"/>
      <w:imprint w:val="false"/>
      <w:vanish w:val="false"/>
      <w:position w:val="0"/>
      <w:sz w:val="22"/>
      <w:sz w:val="22"/>
      <w:vertAlign w:val="baseline"/>
    </w:rPr>
  </w:style>
  <w:style w:type="character" w:styleId="ListLabel25">
    <w:name w:val="ListLabel 25"/>
    <w:qFormat/>
    <w:rPr>
      <w:b w:val="false"/>
      <w:i w:val="false"/>
    </w:rPr>
  </w:style>
  <w:style w:type="character" w:styleId="ListLabel26">
    <w:name w:val="ListLabel 26"/>
    <w:qFormat/>
    <w:rPr>
      <w:b/>
      <w:i w:val="false"/>
      <w:sz w:val="22"/>
      <w:szCs w:val="22"/>
    </w:rPr>
  </w:style>
  <w:style w:type="character" w:styleId="ListLabel27">
    <w:name w:val="ListLabel 27"/>
    <w:qFormat/>
    <w:rPr>
      <w:lang w:val="en-GB"/>
    </w:rPr>
  </w:style>
  <w:style w:type="character" w:styleId="ListLabel28">
    <w:name w:val="ListLabel 28"/>
    <w:qFormat/>
    <w:rPr>
      <w:b/>
      <w:i w:val="false"/>
      <w:caps w:val="false"/>
      <w:smallCaps w:val="false"/>
      <w:strike w:val="false"/>
      <w:dstrike w:val="false"/>
      <w:outline w:val="false"/>
      <w:shadow w:val="false"/>
      <w:emboss w:val="false"/>
      <w:imprint w:val="false"/>
      <w:vanish w:val="false"/>
      <w:position w:val="0"/>
      <w:sz w:val="32"/>
      <w:sz w:val="32"/>
      <w:vertAlign w:val="baseline"/>
    </w:rPr>
  </w:style>
  <w:style w:type="character" w:styleId="ListLabel29">
    <w:name w:val="ListLabel 29"/>
    <w:qFormat/>
    <w:rPr>
      <w:b/>
      <w:i w:val="false"/>
      <w:caps w:val="false"/>
      <w:smallCaps w:val="false"/>
      <w:strike w:val="false"/>
      <w:dstrike w:val="false"/>
      <w:outline w:val="false"/>
      <w:shadow w:val="false"/>
      <w:emboss w:val="false"/>
      <w:imprint w:val="false"/>
      <w:vanish w:val="false"/>
      <w:position w:val="0"/>
      <w:sz w:val="22"/>
      <w:sz w:val="22"/>
      <w:vertAlign w:val="baseline"/>
    </w:rPr>
  </w:style>
  <w:style w:type="character" w:styleId="ListLabel30">
    <w:name w:val="ListLabel 30"/>
    <w:qFormat/>
    <w:rPr>
      <w:b w:val="false"/>
      <w:i w:val="false"/>
    </w:rPr>
  </w:style>
  <w:style w:type="character" w:styleId="ListLabel31">
    <w:name w:val="ListLabel 31"/>
    <w:qFormat/>
    <w:rPr>
      <w:b/>
      <w:i w:val="false"/>
      <w:sz w:val="22"/>
      <w:szCs w:val="22"/>
    </w:rPr>
  </w:style>
  <w:style w:type="character" w:styleId="ListLabel32">
    <w:name w:val="ListLabel 32"/>
    <w:qFormat/>
    <w:rPr>
      <w:lang w:val="en-GB"/>
    </w:rPr>
  </w:style>
  <w:style w:type="paragraph" w:styleId="Heading" w:customStyle="1">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customStyle="1">
    <w:name w:val="Index"/>
    <w:basedOn w:val="Normal"/>
    <w:qFormat/>
    <w:pPr>
      <w:suppressLineNumbers/>
    </w:pPr>
    <w:rPr>
      <w:rFonts w:cs="Mangal"/>
    </w:rPr>
  </w:style>
  <w:style w:type="paragraph" w:styleId="Caption1">
    <w:name w:val="caption"/>
    <w:basedOn w:val="Normal"/>
    <w:qFormat/>
    <w:pPr>
      <w:suppressLineNumbers/>
      <w:spacing w:before="120" w:after="120"/>
    </w:pPr>
    <w:rPr>
      <w:rFonts w:cs="Mangal"/>
      <w:i/>
      <w:iCs/>
      <w:szCs w:val="24"/>
    </w:rPr>
  </w:style>
  <w:style w:type="paragraph" w:styleId="DefinitionTerm" w:customStyle="1">
    <w:name w:val="Definition Term"/>
    <w:basedOn w:val="Normal"/>
    <w:next w:val="DefinitionList"/>
    <w:qFormat/>
    <w:rsid w:val="00e92534"/>
    <w:pPr>
      <w:spacing w:before="0" w:after="0"/>
    </w:pPr>
    <w:rPr/>
  </w:style>
  <w:style w:type="paragraph" w:styleId="DefinitionList" w:customStyle="1">
    <w:name w:val="Definition List"/>
    <w:basedOn w:val="Normal"/>
    <w:next w:val="DefinitionTerm"/>
    <w:qFormat/>
    <w:rsid w:val="00e92534"/>
    <w:pPr>
      <w:spacing w:before="0" w:after="0"/>
      <w:ind w:left="360" w:hanging="0"/>
    </w:pPr>
    <w:rPr/>
  </w:style>
  <w:style w:type="paragraph" w:styleId="H1" w:customStyle="1">
    <w:name w:val="H1"/>
    <w:basedOn w:val="Normal"/>
    <w:next w:val="Normal"/>
    <w:qFormat/>
    <w:rsid w:val="00e92534"/>
    <w:pPr>
      <w:keepNext w:val="true"/>
      <w:outlineLvl w:val="1"/>
    </w:pPr>
    <w:rPr>
      <w:b/>
      <w:kern w:val="2"/>
      <w:sz w:val="48"/>
    </w:rPr>
  </w:style>
  <w:style w:type="paragraph" w:styleId="H2" w:customStyle="1">
    <w:name w:val="H2"/>
    <w:basedOn w:val="Normal"/>
    <w:next w:val="Normal"/>
    <w:qFormat/>
    <w:rsid w:val="00e92534"/>
    <w:pPr>
      <w:keepNext w:val="true"/>
      <w:outlineLvl w:val="2"/>
    </w:pPr>
    <w:rPr>
      <w:b/>
      <w:sz w:val="36"/>
    </w:rPr>
  </w:style>
  <w:style w:type="paragraph" w:styleId="H3" w:customStyle="1">
    <w:name w:val="H3"/>
    <w:basedOn w:val="Normal"/>
    <w:next w:val="Normal"/>
    <w:qFormat/>
    <w:rsid w:val="00e92534"/>
    <w:pPr>
      <w:keepNext w:val="true"/>
      <w:outlineLvl w:val="3"/>
    </w:pPr>
    <w:rPr>
      <w:b/>
      <w:sz w:val="28"/>
    </w:rPr>
  </w:style>
  <w:style w:type="paragraph" w:styleId="H4" w:customStyle="1">
    <w:name w:val="H4"/>
    <w:basedOn w:val="Normal"/>
    <w:next w:val="Normal"/>
    <w:qFormat/>
    <w:rsid w:val="00e92534"/>
    <w:pPr>
      <w:keepNext w:val="true"/>
      <w:outlineLvl w:val="4"/>
    </w:pPr>
    <w:rPr>
      <w:b/>
    </w:rPr>
  </w:style>
  <w:style w:type="paragraph" w:styleId="H5" w:customStyle="1">
    <w:name w:val="H5"/>
    <w:basedOn w:val="Normal"/>
    <w:next w:val="Normal"/>
    <w:qFormat/>
    <w:rsid w:val="00e92534"/>
    <w:pPr>
      <w:keepNext w:val="true"/>
      <w:outlineLvl w:val="5"/>
    </w:pPr>
    <w:rPr>
      <w:b/>
      <w:sz w:val="20"/>
    </w:rPr>
  </w:style>
  <w:style w:type="paragraph" w:styleId="H6" w:customStyle="1">
    <w:name w:val="H6"/>
    <w:basedOn w:val="Normal"/>
    <w:next w:val="Normal"/>
    <w:qFormat/>
    <w:rsid w:val="00e92534"/>
    <w:pPr>
      <w:keepNext w:val="true"/>
      <w:outlineLvl w:val="6"/>
    </w:pPr>
    <w:rPr>
      <w:b/>
      <w:sz w:val="16"/>
    </w:rPr>
  </w:style>
  <w:style w:type="paragraph" w:styleId="Address" w:customStyle="1">
    <w:name w:val="Address"/>
    <w:basedOn w:val="Normal"/>
    <w:next w:val="Normal"/>
    <w:qFormat/>
    <w:rsid w:val="00e92534"/>
    <w:pPr>
      <w:spacing w:before="0" w:after="0"/>
    </w:pPr>
    <w:rPr>
      <w:i/>
    </w:rPr>
  </w:style>
  <w:style w:type="paragraph" w:styleId="Blockquote" w:customStyle="1">
    <w:name w:val="Blockquote"/>
    <w:basedOn w:val="Normal"/>
    <w:qFormat/>
    <w:rsid w:val="00e92534"/>
    <w:pPr>
      <w:ind w:left="360" w:right="360" w:hanging="0"/>
    </w:pPr>
    <w:rPr/>
  </w:style>
  <w:style w:type="paragraph" w:styleId="Preformatted" w:customStyle="1">
    <w:name w:val="Preformatted"/>
    <w:basedOn w:val="Normal"/>
    <w:qFormat/>
    <w:rsid w:val="00e92534"/>
    <w:pPr>
      <w:tabs>
        <w:tab w:val="clear" w:pos="720"/>
        <w:tab w:val="left" w:pos="0" w:leader="none"/>
        <w:tab w:val="left" w:pos="959" w:leader="none"/>
        <w:tab w:val="left" w:pos="1918" w:leader="none"/>
        <w:tab w:val="left" w:pos="2877" w:leader="none"/>
        <w:tab w:val="left" w:pos="3836" w:leader="none"/>
        <w:tab w:val="left" w:pos="4795" w:leader="none"/>
        <w:tab w:val="left" w:pos="5754" w:leader="none"/>
        <w:tab w:val="left" w:pos="6713" w:leader="none"/>
        <w:tab w:val="left" w:pos="7672" w:leader="none"/>
        <w:tab w:val="left" w:pos="8631" w:leader="none"/>
        <w:tab w:val="left" w:pos="9590" w:leader="none"/>
      </w:tabs>
      <w:spacing w:before="0" w:after="0"/>
    </w:pPr>
    <w:rPr>
      <w:rFonts w:ascii="Courier New" w:hAnsi="Courier New"/>
      <w:sz w:val="20"/>
    </w:rPr>
  </w:style>
  <w:style w:type="paragraph" w:styleId="HTMLBottomofForm">
    <w:name w:val="HTML Bottom of Form"/>
    <w:next w:val="Normal"/>
    <w:qFormat/>
    <w:rsid w:val="00e92534"/>
    <w:pPr>
      <w:widowControl w:val="false"/>
      <w:pBdr>
        <w:top w:val="double" w:sz="2" w:space="0" w:color="000000"/>
      </w:pBdr>
      <w:bidi w:val="0"/>
      <w:jc w:val="center"/>
    </w:pPr>
    <w:rPr>
      <w:rFonts w:ascii="Arial" w:hAnsi="Arial" w:eastAsia="Times New Roman" w:cs="Times New Roman"/>
      <w:vanish/>
      <w:color w:val="auto"/>
      <w:kern w:val="0"/>
      <w:sz w:val="16"/>
      <w:szCs w:val="20"/>
      <w:lang w:val="en-US" w:eastAsia="en-US" w:bidi="ar-SA"/>
    </w:rPr>
  </w:style>
  <w:style w:type="paragraph" w:styleId="HTMLTopofForm">
    <w:name w:val="HTML Top of Form"/>
    <w:next w:val="Normal"/>
    <w:qFormat/>
    <w:rsid w:val="00e92534"/>
    <w:pPr>
      <w:widowControl w:val="false"/>
      <w:pBdr>
        <w:bottom w:val="double" w:sz="2" w:space="0" w:color="000000"/>
      </w:pBdr>
      <w:bidi w:val="0"/>
      <w:jc w:val="center"/>
    </w:pPr>
    <w:rPr>
      <w:rFonts w:ascii="Arial" w:hAnsi="Arial" w:eastAsia="Times New Roman" w:cs="Times New Roman"/>
      <w:vanish/>
      <w:color w:val="auto"/>
      <w:kern w:val="0"/>
      <w:sz w:val="16"/>
      <w:szCs w:val="20"/>
      <w:lang w:val="en-US" w:eastAsia="en-US" w:bidi="ar-SA"/>
    </w:rPr>
  </w:style>
  <w:style w:type="paragraph" w:styleId="DocumentMap">
    <w:name w:val="Document Map"/>
    <w:basedOn w:val="Normal"/>
    <w:semiHidden/>
    <w:qFormat/>
    <w:rsid w:val="00e92534"/>
    <w:pPr>
      <w:shd w:val="clear" w:color="auto" w:fill="000080"/>
    </w:pPr>
    <w:rPr/>
  </w:style>
  <w:style w:type="paragraph" w:styleId="Header">
    <w:name w:val="Header"/>
    <w:basedOn w:val="Normal"/>
    <w:rsid w:val="007c4aa9"/>
    <w:pPr>
      <w:tabs>
        <w:tab w:val="clear" w:pos="720"/>
        <w:tab w:val="center" w:pos="4536" w:leader="none"/>
        <w:tab w:val="right" w:pos="9072" w:leader="none"/>
      </w:tabs>
    </w:pPr>
    <w:rPr/>
  </w:style>
  <w:style w:type="paragraph" w:styleId="Footer">
    <w:name w:val="Footer"/>
    <w:basedOn w:val="Normal"/>
    <w:rsid w:val="007c4aa9"/>
    <w:pPr>
      <w:tabs>
        <w:tab w:val="clear" w:pos="720"/>
        <w:tab w:val="center" w:pos="4536" w:leader="none"/>
        <w:tab w:val="right" w:pos="9072" w:leader="none"/>
      </w:tabs>
    </w:pPr>
    <w:rPr/>
  </w:style>
  <w:style w:type="paragraph" w:styleId="PRAGHeading2" w:customStyle="1">
    <w:name w:val="PRAG Heading 2"/>
    <w:basedOn w:val="Normal"/>
    <w:qFormat/>
    <w:rsid w:val="00805efa"/>
    <w:pPr/>
    <w:rPr/>
  </w:style>
  <w:style w:type="paragraph" w:styleId="Annotationtext">
    <w:name w:val="annotation text"/>
    <w:basedOn w:val="Normal"/>
    <w:semiHidden/>
    <w:qFormat/>
    <w:rsid w:val="00bd3b9d"/>
    <w:pPr/>
    <w:rPr>
      <w:sz w:val="20"/>
    </w:rPr>
  </w:style>
  <w:style w:type="paragraph" w:styleId="Annotationsubject">
    <w:name w:val="annotation subject"/>
    <w:basedOn w:val="Annotationtext"/>
    <w:next w:val="Annotationtext"/>
    <w:semiHidden/>
    <w:qFormat/>
    <w:rsid w:val="00bd3b9d"/>
    <w:pPr/>
    <w:rPr>
      <w:b/>
      <w:bCs/>
    </w:rPr>
  </w:style>
  <w:style w:type="paragraph" w:styleId="BalloonText">
    <w:name w:val="Balloon Text"/>
    <w:basedOn w:val="Normal"/>
    <w:semiHidden/>
    <w:qFormat/>
    <w:rsid w:val="00bd3b9d"/>
    <w:pPr/>
    <w:rPr>
      <w:rFonts w:ascii="Tahoma" w:hAnsi="Tahoma" w:cs="Tahoma"/>
      <w:sz w:val="16"/>
      <w:szCs w:val="16"/>
    </w:rPr>
  </w:style>
  <w:style w:type="paragraph" w:styleId="Footnote">
    <w:name w:val="Footnote Text"/>
    <w:basedOn w:val="Normal"/>
    <w:link w:val="FootnoteTextChar"/>
    <w:autoRedefine/>
    <w:uiPriority w:val="99"/>
    <w:rsid w:val="00921394"/>
    <w:pPr>
      <w:spacing w:before="0" w:after="0"/>
    </w:pPr>
    <w:rPr>
      <w:sz w:val="20"/>
    </w:rPr>
  </w:style>
  <w:style w:type="paragraph" w:styleId="FootnoteText1" w:customStyle="1">
    <w:name w:val="Footnote Text1"/>
    <w:qFormat/>
    <w:rsid w:val="00b24e1f"/>
    <w:pPr>
      <w:widowControl/>
      <w:bidi w:val="0"/>
      <w:jc w:val="both"/>
    </w:pPr>
    <w:rPr>
      <w:rFonts w:ascii="Calibri" w:hAnsi="Calibri" w:eastAsia="Calibri" w:cs="Calibri"/>
      <w:color w:val="000000"/>
      <w:kern w:val="0"/>
      <w:sz w:val="24"/>
      <w:szCs w:val="20"/>
      <w:u w:val="none" w:color="000000"/>
      <w:lang w:val="en-GB" w:eastAsia="fr-FR" w:bidi="ar-SA"/>
    </w:rPr>
  </w:style>
  <w:style w:type="paragraph" w:styleId="Paragraph" w:customStyle="1">
    <w:name w:val="paragraph"/>
    <w:basedOn w:val="Normal"/>
    <w:qFormat/>
    <w:rsid w:val="000252ff"/>
    <w:pPr>
      <w:widowControl/>
      <w:spacing w:beforeAutospacing="1" w:afterAutospacing="1"/>
    </w:pPr>
    <w:rPr>
      <w:szCs w:val="24"/>
      <w:lang w:val="fr-BE" w:eastAsia="fr-BE"/>
    </w:rPr>
  </w:style>
  <w:style w:type="paragraph" w:styleId="Revision">
    <w:name w:val="Revision"/>
    <w:uiPriority w:val="99"/>
    <w:semiHidden/>
    <w:qFormat/>
    <w:rsid w:val="00f032a1"/>
    <w:pPr>
      <w:widowControl/>
      <w:bidi w:val="0"/>
      <w:jc w:val="left"/>
    </w:pPr>
    <w:rPr>
      <w:rFonts w:ascii="Times New Roman" w:hAnsi="Times New Roman" w:eastAsia="Times New Roman" w:cs="Times New Roman"/>
      <w:color w:val="auto"/>
      <w:kern w:val="0"/>
      <w:sz w:val="24"/>
      <w:szCs w:val="20"/>
      <w:lang w:val="fr-FR"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ec.europa.eu/budget/graphs/inforeuro.html"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9E8313-5AA4-490B-AC6C-33D97411D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Application>LibreOffice/6.2.2.2$Windows_X86_64 LibreOffice_project/2b840030fec2aae0fd2658d8d4f9548af4e3518d</Application>
  <Pages>3</Pages>
  <Words>1231</Words>
  <Characters>6872</Characters>
  <CharactersWithSpaces>8041</CharactersWithSpaces>
  <Paragraphs>59</Paragraphs>
  <Company>European Commission</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2024-10-30T14:03:00Z</dcterms:created>
  <dc:creator>sabatmu</dc:creator>
  <dc:description/>
  <dc:language>en-US</dc:language>
  <cp:lastModifiedBy/>
  <cp:lastPrinted>2006-01-25T10:58:00Z</cp:lastPrinted>
  <dcterms:modified xsi:type="dcterms:W3CDTF">2024-11-29T11:58:18Z</dcterms:modified>
  <cp:revision>13</cp:revision>
  <dc:subject/>
  <dc:title>proc_notice_en</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duboile</vt:lpwstr>
  </property>
  <property fmtid="{D5CDD505-2E9C-101B-9397-08002B2CF9AE}" pid="4" name="Company">
    <vt:lpwstr>European Commission</vt:lpwstr>
  </property>
  <property fmtid="{D5CDD505-2E9C-101B-9397-08002B2CF9AE}" pid="5" name="DocSecurity">
    <vt:i4>0</vt:i4>
  </property>
  <property fmtid="{D5CDD505-2E9C-101B-9397-08002B2CF9AE}" pid="6" name="Generator">
    <vt:lpwstr>Microsoft Word 97</vt:lpwstr>
  </property>
  <property fmtid="{D5CDD505-2E9C-101B-9397-08002B2CF9AE}" pid="7" name="HyperlinksChanged">
    <vt:bool>0</vt:bool>
  </property>
  <property fmtid="{D5CDD505-2E9C-101B-9397-08002B2CF9AE}" pid="8" name="LinksUpToDate">
    <vt:bool>0</vt:bool>
  </property>
  <property fmtid="{D5CDD505-2E9C-101B-9397-08002B2CF9AE}" pid="9" name="ScaleCrop">
    <vt:bool>0</vt:bool>
  </property>
  <property fmtid="{D5CDD505-2E9C-101B-9397-08002B2CF9AE}" pid="10" name="ShareDoc">
    <vt:bool>0</vt:bool>
  </property>
</Properties>
</file>